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288C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44DCA1E2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7E004C7F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0DD4D6EE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51E9D503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0EE2998F" w14:textId="39461D96" w:rsidR="00D3490F" w:rsidRDefault="00D3490F" w:rsidP="00D3490F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Missouri Society of CPAs Peer Review CART Review Fees </w:t>
      </w:r>
    </w:p>
    <w:p w14:paraId="2629B42E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b/>
          <w:bCs/>
          <w:color w:val="333333"/>
        </w:rPr>
      </w:pPr>
    </w:p>
    <w:p w14:paraId="28F20927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Tier 1 Pricing: $1,500</w:t>
      </w:r>
    </w:p>
    <w:p w14:paraId="6855D8BC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2 compilations without disclosures </w:t>
      </w:r>
    </w:p>
    <w:p w14:paraId="40688DA5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1 review engagement</w:t>
      </w:r>
    </w:p>
    <w:p w14:paraId="060EDB9F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full-disclosure compilation </w:t>
      </w:r>
    </w:p>
    <w:p w14:paraId="030C0CBA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</w:p>
    <w:p w14:paraId="0050E443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Tier 2 Pricing: $1,750</w:t>
      </w:r>
    </w:p>
    <w:p w14:paraId="3A5183A8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full disclosure compilation </w:t>
      </w:r>
    </w:p>
    <w:p w14:paraId="6434A009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review engagement </w:t>
      </w:r>
    </w:p>
    <w:p w14:paraId="51EC6B4F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projection engagement </w:t>
      </w:r>
    </w:p>
    <w:p w14:paraId="75DDA112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agreed-upon procedure </w:t>
      </w:r>
    </w:p>
    <w:p w14:paraId="5279148B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</w:p>
    <w:p w14:paraId="0A15ECA5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Tier 3 Pricing: $2,000</w:t>
      </w:r>
    </w:p>
    <w:p w14:paraId="062428BF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1 review &amp; 1 full disclosure compilation</w:t>
      </w:r>
    </w:p>
    <w:p w14:paraId="343BE0B5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review &amp; 1 projection engagement </w:t>
      </w:r>
    </w:p>
    <w:p w14:paraId="782857DE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1 review &amp; 1 agreed-upon procedure</w:t>
      </w:r>
    </w:p>
    <w:p w14:paraId="3EBFD0DE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color w:val="333333"/>
        </w:rPr>
      </w:pPr>
    </w:p>
    <w:p w14:paraId="5FBC99CE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Additional Engagements: $500 each</w:t>
      </w:r>
    </w:p>
    <w:p w14:paraId="616566C6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For each additional engagement, $500 will be added to the cost of the review.</w:t>
      </w:r>
    </w:p>
    <w:p w14:paraId="02A65C25" w14:textId="77777777" w:rsidR="005F0ADC" w:rsidRPr="005F0ADC" w:rsidRDefault="005F0ADC" w:rsidP="00D3490F">
      <w:pPr>
        <w:rPr>
          <w:rFonts w:ascii="Georgia" w:hAnsi="Georgia"/>
          <w:u w:val="single"/>
        </w:rPr>
      </w:pPr>
      <w:r w:rsidRPr="005F0ADC">
        <w:rPr>
          <w:rFonts w:ascii="Georgia" w:hAnsi="Georgia"/>
          <w:u w:val="single"/>
        </w:rPr>
        <w:t>Additional Time</w:t>
      </w:r>
    </w:p>
    <w:p w14:paraId="510E8C82" w14:textId="2134D399" w:rsidR="000461CA" w:rsidRPr="0078126D" w:rsidRDefault="0099208A" w:rsidP="00D3490F">
      <w:pPr>
        <w:rPr>
          <w:rFonts w:ascii="Georgia" w:hAnsi="Georgia"/>
        </w:rPr>
      </w:pPr>
      <w:r w:rsidRPr="0078126D">
        <w:rPr>
          <w:rFonts w:ascii="Georgia" w:hAnsi="Georgia"/>
        </w:rPr>
        <w:t>If the reviewer</w:t>
      </w:r>
      <w:r w:rsidR="0078126D">
        <w:rPr>
          <w:rFonts w:ascii="Georgia" w:hAnsi="Georgia"/>
        </w:rPr>
        <w:t xml:space="preserve"> encounters issues with the review and extra time is required, an additional fee will be charged</w:t>
      </w:r>
      <w:r w:rsidR="00280426">
        <w:rPr>
          <w:rFonts w:ascii="Georgia" w:hAnsi="Georgia"/>
        </w:rPr>
        <w:t xml:space="preserve"> to the reviewed firm.</w:t>
      </w:r>
      <w:r w:rsidR="00FE3B93">
        <w:rPr>
          <w:rFonts w:ascii="Georgia" w:hAnsi="Georgia"/>
        </w:rPr>
        <w:t xml:space="preserve"> The additional fee will be based on time added to the review</w:t>
      </w:r>
      <w:r w:rsidR="00791AC1">
        <w:rPr>
          <w:rFonts w:ascii="Georgia" w:hAnsi="Georgia"/>
        </w:rPr>
        <w:t xml:space="preserve"> at $</w:t>
      </w:r>
      <w:r w:rsidR="00F95171">
        <w:rPr>
          <w:rFonts w:ascii="Georgia" w:hAnsi="Georgia"/>
        </w:rPr>
        <w:t>2</w:t>
      </w:r>
      <w:r w:rsidR="00791AC1">
        <w:rPr>
          <w:rFonts w:ascii="Georgia" w:hAnsi="Georgia"/>
        </w:rPr>
        <w:t>50/hour.</w:t>
      </w:r>
    </w:p>
    <w:p w14:paraId="064D38B7" w14:textId="5B857089" w:rsidR="00A86523" w:rsidRDefault="00A86523" w:rsidP="00D3490F"/>
    <w:p w14:paraId="293B307B" w14:textId="5EBFAA0F" w:rsidR="00A86523" w:rsidRDefault="00A86523" w:rsidP="00D3490F"/>
    <w:p w14:paraId="79EBF74F" w14:textId="60CE9B85" w:rsidR="00A86523" w:rsidRPr="008755D9" w:rsidRDefault="00A86523" w:rsidP="00D3490F">
      <w:pPr>
        <w:rPr>
          <w:sz w:val="18"/>
          <w:szCs w:val="18"/>
        </w:rPr>
      </w:pPr>
      <w:r w:rsidRPr="008755D9">
        <w:rPr>
          <w:sz w:val="18"/>
          <w:szCs w:val="18"/>
        </w:rPr>
        <w:t xml:space="preserve">Per approval by MOCPA PREC </w:t>
      </w:r>
      <w:r w:rsidR="008755D9" w:rsidRPr="008755D9">
        <w:rPr>
          <w:sz w:val="18"/>
          <w:szCs w:val="18"/>
        </w:rPr>
        <w:t>10/</w:t>
      </w:r>
      <w:r w:rsidR="00F13017">
        <w:rPr>
          <w:sz w:val="18"/>
          <w:szCs w:val="18"/>
        </w:rPr>
        <w:t>20</w:t>
      </w:r>
      <w:r w:rsidR="008755D9" w:rsidRPr="008755D9">
        <w:rPr>
          <w:sz w:val="18"/>
          <w:szCs w:val="18"/>
        </w:rPr>
        <w:t>/202</w:t>
      </w:r>
      <w:r w:rsidR="00477A52">
        <w:rPr>
          <w:sz w:val="18"/>
          <w:szCs w:val="18"/>
        </w:rPr>
        <w:t>2</w:t>
      </w:r>
    </w:p>
    <w:sectPr w:rsidR="00A86523" w:rsidRPr="008755D9" w:rsidSect="00D04A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DFA7" w14:textId="77777777" w:rsidR="0049135B" w:rsidRDefault="0049135B" w:rsidP="007D73CE">
      <w:r>
        <w:separator/>
      </w:r>
    </w:p>
  </w:endnote>
  <w:endnote w:type="continuationSeparator" w:id="0">
    <w:p w14:paraId="7CE72150" w14:textId="77777777" w:rsidR="0049135B" w:rsidRDefault="0049135B" w:rsidP="007D73CE">
      <w:r>
        <w:continuationSeparator/>
      </w:r>
    </w:p>
  </w:endnote>
  <w:endnote w:type="continuationNotice" w:id="1">
    <w:p w14:paraId="78FF9D85" w14:textId="77777777" w:rsidR="0049135B" w:rsidRDefault="00491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C4A7" w14:textId="1E0C5949" w:rsidR="007D73CE" w:rsidRDefault="007F1DE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CA164A" wp14:editId="5B0286B8">
          <wp:simplePos x="0" y="0"/>
          <wp:positionH relativeFrom="column">
            <wp:posOffset>-781050</wp:posOffset>
          </wp:positionH>
          <wp:positionV relativeFrom="paragraph">
            <wp:posOffset>5080</wp:posOffset>
          </wp:positionV>
          <wp:extent cx="7467600" cy="466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er Review-Invo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E4FF" w14:textId="77777777" w:rsidR="0049135B" w:rsidRDefault="0049135B" w:rsidP="007D73CE">
      <w:r>
        <w:separator/>
      </w:r>
    </w:p>
  </w:footnote>
  <w:footnote w:type="continuationSeparator" w:id="0">
    <w:p w14:paraId="1E16620A" w14:textId="77777777" w:rsidR="0049135B" w:rsidRDefault="0049135B" w:rsidP="007D73CE">
      <w:r>
        <w:continuationSeparator/>
      </w:r>
    </w:p>
  </w:footnote>
  <w:footnote w:type="continuationNotice" w:id="1">
    <w:p w14:paraId="5267526D" w14:textId="77777777" w:rsidR="0049135B" w:rsidRDefault="00491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2D2" w14:textId="7344463C" w:rsidR="007D73CE" w:rsidRDefault="001650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007C7" wp14:editId="2B5EEA03">
          <wp:simplePos x="0" y="0"/>
          <wp:positionH relativeFrom="column">
            <wp:posOffset>1880235</wp:posOffset>
          </wp:positionH>
          <wp:positionV relativeFrom="paragraph">
            <wp:posOffset>-342265</wp:posOffset>
          </wp:positionV>
          <wp:extent cx="2505075" cy="11455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AC5"/>
    <w:multiLevelType w:val="hybridMultilevel"/>
    <w:tmpl w:val="5C9A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2F59"/>
    <w:multiLevelType w:val="hybridMultilevel"/>
    <w:tmpl w:val="68E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183A"/>
    <w:multiLevelType w:val="hybridMultilevel"/>
    <w:tmpl w:val="703E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23978">
    <w:abstractNumId w:val="2"/>
  </w:num>
  <w:num w:numId="2" w16cid:durableId="1711615279">
    <w:abstractNumId w:val="1"/>
  </w:num>
  <w:num w:numId="3" w16cid:durableId="203233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CE"/>
    <w:rsid w:val="00031B2A"/>
    <w:rsid w:val="000461CA"/>
    <w:rsid w:val="000E000A"/>
    <w:rsid w:val="00161B9F"/>
    <w:rsid w:val="00165095"/>
    <w:rsid w:val="001F0598"/>
    <w:rsid w:val="00224171"/>
    <w:rsid w:val="002615CD"/>
    <w:rsid w:val="00280426"/>
    <w:rsid w:val="00335F51"/>
    <w:rsid w:val="00393D50"/>
    <w:rsid w:val="00477A52"/>
    <w:rsid w:val="0049135B"/>
    <w:rsid w:val="005F0ADC"/>
    <w:rsid w:val="006F1791"/>
    <w:rsid w:val="0078126D"/>
    <w:rsid w:val="00791AC1"/>
    <w:rsid w:val="007D73CE"/>
    <w:rsid w:val="007F1DEC"/>
    <w:rsid w:val="008755D9"/>
    <w:rsid w:val="0099208A"/>
    <w:rsid w:val="009E3268"/>
    <w:rsid w:val="00A02D6F"/>
    <w:rsid w:val="00A86523"/>
    <w:rsid w:val="00CB0283"/>
    <w:rsid w:val="00D04AC3"/>
    <w:rsid w:val="00D3490F"/>
    <w:rsid w:val="00EB4DFE"/>
    <w:rsid w:val="00EE30B3"/>
    <w:rsid w:val="00F13017"/>
    <w:rsid w:val="00F748DD"/>
    <w:rsid w:val="00F95171"/>
    <w:rsid w:val="00FE3B93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E8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CE"/>
  </w:style>
  <w:style w:type="paragraph" w:styleId="Footer">
    <w:name w:val="footer"/>
    <w:basedOn w:val="Normal"/>
    <w:link w:val="Foot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CE"/>
  </w:style>
  <w:style w:type="paragraph" w:styleId="ListParagraph">
    <w:name w:val="List Paragraph"/>
    <w:basedOn w:val="Normal"/>
    <w:uiPriority w:val="34"/>
    <w:qFormat/>
    <w:rsid w:val="00EB4DFE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27c32-06db-4be5-aa9a-c01d091b7102">
      <Terms xmlns="http://schemas.microsoft.com/office/infopath/2007/PartnerControls"/>
    </lcf76f155ced4ddcb4097134ff3c332f>
    <TaxCatchAll xmlns="924660e7-9779-4819-ab2c-7129225e9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31D2B636474D9931D98EB12E1118" ma:contentTypeVersion="18" ma:contentTypeDescription="Create a new document." ma:contentTypeScope="" ma:versionID="7720c907e8fa063453a90a16f5c98d4f">
  <xsd:schema xmlns:xsd="http://www.w3.org/2001/XMLSchema" xmlns:xs="http://www.w3.org/2001/XMLSchema" xmlns:p="http://schemas.microsoft.com/office/2006/metadata/properties" xmlns:ns2="64227c32-06db-4be5-aa9a-c01d091b7102" xmlns:ns3="924660e7-9779-4819-ab2c-7129225e947d" targetNamespace="http://schemas.microsoft.com/office/2006/metadata/properties" ma:root="true" ma:fieldsID="83cda586f626919b6934a507cabac2a5" ns2:_="" ns3:_="">
    <xsd:import namespace="64227c32-06db-4be5-aa9a-c01d091b7102"/>
    <xsd:import namespace="924660e7-9779-4819-ab2c-7129225e9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7c32-06db-4be5-aa9a-c01d091b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0db083-900b-41d9-871f-f2fccc007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60e7-9779-4819-ab2c-7129225e9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25d6960-5d58-4c52-8dd6-b8905ac0a0a3}" ma:internalName="TaxCatchAll" ma:showField="CatchAllData" ma:web="924660e7-9779-4819-ab2c-7129225e9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7F121-B49A-4DFD-BC48-22F533FDD1C6}">
  <ds:schemaRefs>
    <ds:schemaRef ds:uri="http://schemas.microsoft.com/office/2006/metadata/properties"/>
    <ds:schemaRef ds:uri="http://schemas.microsoft.com/office/infopath/2007/PartnerControls"/>
    <ds:schemaRef ds:uri="64227c32-06db-4be5-aa9a-c01d091b7102"/>
    <ds:schemaRef ds:uri="924660e7-9779-4819-ab2c-7129225e947d"/>
  </ds:schemaRefs>
</ds:datastoreItem>
</file>

<file path=customXml/itemProps2.xml><?xml version="1.0" encoding="utf-8"?>
<ds:datastoreItem xmlns:ds="http://schemas.openxmlformats.org/officeDocument/2006/customXml" ds:itemID="{20B02BE4-C296-49CC-AA65-7556C860E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7c32-06db-4be5-aa9a-c01d091b7102"/>
    <ds:schemaRef ds:uri="924660e7-9779-4819-ab2c-7129225e9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47CC2-D758-4414-A3E8-C8605F19C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rmorris@mocpa.org</dc:creator>
  <cp:keywords/>
  <dc:description/>
  <cp:lastModifiedBy>Patti Woods</cp:lastModifiedBy>
  <cp:revision>3</cp:revision>
  <cp:lastPrinted>2017-12-08T19:15:00Z</cp:lastPrinted>
  <dcterms:created xsi:type="dcterms:W3CDTF">2022-08-05T16:05:00Z</dcterms:created>
  <dcterms:modified xsi:type="dcterms:W3CDTF">2022-10-24T18:45:00Z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0x010100AE1931D2B636474D9931D98EB12E1118</vt:lpwstr>
  </property>
  <property fmtid="{D5CDD505-2E9C-101B-9397-08002B2CF9AE}" pid="3" name="MediaServiceImageTags">
    <vt:lpwstr/>
  </property>
</Properties>
</file>