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A2" w:rsidRDefault="007667A2" w:rsidP="007667A2">
      <w:r>
        <w:pict>
          <v:rect id="_x0000_i1025" style="width:937.85pt;height:1.5pt" o:hrpct="0" o:hralign="center" o:hrstd="t" o:hr="t" fillcolor="#a0a0a0" stroked="f"/>
        </w:pict>
      </w:r>
    </w:p>
    <w:p w:rsidR="007667A2" w:rsidRDefault="007667A2" w:rsidP="007667A2">
      <w:r>
        <w:rPr>
          <w:rFonts w:ascii="Calibri" w:hAnsi="Calibri" w:cs="Calibri"/>
          <w:b/>
          <w:bCs/>
          <w:color w:val="000000"/>
          <w:sz w:val="22"/>
          <w:szCs w:val="22"/>
        </w:rPr>
        <w:t>From:</w:t>
      </w:r>
      <w:r>
        <w:rPr>
          <w:rFonts w:ascii="Calibri" w:hAnsi="Calibri" w:cs="Calibri"/>
          <w:color w:val="000000"/>
          <w:sz w:val="22"/>
          <w:szCs w:val="22"/>
        </w:rPr>
        <w:t> NASBA &lt;info@nasba.org&gt;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Thursday, November 3, 2022 2:05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Donald Danner &lt;ddanner@aurora.edu&gt;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CPA Exam into the Future: Tentative Key Dates Announced</w:t>
      </w:r>
    </w:p>
    <w:p w:rsidR="007667A2" w:rsidRDefault="007667A2" w:rsidP="007667A2">
      <w:r>
        <w:t> </w:t>
      </w:r>
    </w:p>
    <w:tbl>
      <w:tblPr>
        <w:tblW w:w="5000" w:type="pct"/>
        <w:tblCellSpacing w:w="0" w:type="dxa"/>
        <w:shd w:val="clear" w:color="auto" w:fill="DDDFE0"/>
        <w:tblCellMar>
          <w:left w:w="0" w:type="dxa"/>
          <w:right w:w="0" w:type="dxa"/>
        </w:tblCellMar>
        <w:tblLook w:val="04A0" w:firstRow="1" w:lastRow="0" w:firstColumn="1" w:lastColumn="0" w:noHBand="0" w:noVBand="1"/>
      </w:tblPr>
      <w:tblGrid>
        <w:gridCol w:w="9360"/>
      </w:tblGrid>
      <w:tr w:rsidR="007667A2" w:rsidTr="007667A2">
        <w:trPr>
          <w:tblCellSpacing w:w="0" w:type="dxa"/>
        </w:trPr>
        <w:tc>
          <w:tcPr>
            <w:tcW w:w="0" w:type="auto"/>
            <w:shd w:val="clear" w:color="auto" w:fill="DDDFE0"/>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667A2">
                          <w:trPr>
                            <w:tblCellSpacing w:w="0" w:type="dxa"/>
                          </w:trPr>
                          <w:tc>
                            <w:tcPr>
                              <w:tcW w:w="9600" w:type="dxa"/>
                              <w:vAlign w:val="center"/>
                              <w:hideMark/>
                            </w:tcPr>
                            <w:p w:rsidR="007667A2" w:rsidRDefault="007667A2">
                              <w:pPr>
                                <w:spacing w:line="150" w:lineRule="atLeast"/>
                                <w:jc w:val="center"/>
                              </w:pPr>
                              <w:r>
                                <w:rPr>
                                  <w:noProof/>
                                  <w:color w:val="196AD4"/>
                                </w:rPr>
                                <w:drawing>
                                  <wp:inline distT="0" distB="0" distL="0" distR="0" wp14:anchorId="5232719E" wp14:editId="72461B16">
                                    <wp:extent cx="6096000" cy="1104900"/>
                                    <wp:effectExtent l="0" t="0" r="0" b="0"/>
                                    <wp:docPr id="1" name="Picture 1" descr="Alternate tex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ernate text">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104900"/>
                                            </a:xfrm>
                                            <a:prstGeom prst="rect">
                                              <a:avLst/>
                                            </a:prstGeom>
                                            <a:noFill/>
                                            <a:ln>
                                              <a:noFill/>
                                            </a:ln>
                                          </pic:spPr>
                                        </pic:pic>
                                      </a:graphicData>
                                    </a:graphic>
                                  </wp:inline>
                                </w:drawing>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667A2">
                          <w:trPr>
                            <w:tblCellSpacing w:w="0" w:type="dxa"/>
                          </w:trPr>
                          <w:tc>
                            <w:tcPr>
                              <w:tcW w:w="9600" w:type="dxa"/>
                              <w:vAlign w:val="center"/>
                              <w:hideMark/>
                            </w:tcPr>
                            <w:p w:rsidR="007667A2" w:rsidRDefault="007667A2">
                              <w:pPr>
                                <w:spacing w:line="150" w:lineRule="atLeast"/>
                                <w:jc w:val="center"/>
                              </w:pPr>
                              <w:r>
                                <w:rPr>
                                  <w:noProof/>
                                </w:rPr>
                                <w:drawing>
                                  <wp:inline distT="0" distB="0" distL="0" distR="0" wp14:anchorId="743D8E8A" wp14:editId="4EB6895D">
                                    <wp:extent cx="6096000" cy="2028825"/>
                                    <wp:effectExtent l="0" t="0" r="0" b="9525"/>
                                    <wp:docPr id="2" name="Picture 2" descr="https://ecp.yusercontent.com/mail?url=https%3A%2F%2Fd31hzlhk6di2h5.cloudfront.net%2F20221103%2F35%2F99%2F91%2Ffb%2F6ceee2d20b605cbe744c7ebc_640xauto.jpg&amp;t=1670863826&amp;ymreqid=5b697d50-1588-05a5-1cd4-380011016c00&amp;sig=785C6tqVP5MZjz9RuT6f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cp.yusercontent.com/mail?url=https%3A%2F%2Fd31hzlhk6di2h5.cloudfront.net%2F20221103%2F35%2F99%2F91%2Ffb%2F6ceee2d20b605cbe744c7ebc_640xauto.jpg&amp;t=1670863826&amp;ymreqid=5b697d50-1588-05a5-1cd4-380011016c00&amp;sig=785C6tqVP5MZjz9RuT6fKg--~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2028825"/>
                                            </a:xfrm>
                                            <a:prstGeom prst="rect">
                                              <a:avLst/>
                                            </a:prstGeom>
                                            <a:noFill/>
                                            <a:ln>
                                              <a:noFill/>
                                            </a:ln>
                                          </pic:spPr>
                                        </pic:pic>
                                      </a:graphicData>
                                    </a:graphic>
                                  </wp:inline>
                                </w:drawing>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shd w:val="clear" w:color="auto" w:fill="DDDFE0"/>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shd w:val="clear" w:color="auto" w:fill="DDDFE0"/>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667A2">
                          <w:trPr>
                            <w:tblCellSpacing w:w="0" w:type="dxa"/>
                          </w:trPr>
                          <w:tc>
                            <w:tcPr>
                              <w:tcW w:w="0" w:type="auto"/>
                              <w:tcMar>
                                <w:top w:w="0" w:type="dxa"/>
                                <w:left w:w="150" w:type="dxa"/>
                                <w:bottom w:w="150" w:type="dxa"/>
                                <w:right w:w="150" w:type="dxa"/>
                              </w:tcMar>
                              <w:vAlign w:val="center"/>
                              <w:hideMark/>
                            </w:tcPr>
                            <w:p w:rsidR="007667A2" w:rsidRDefault="007667A2" w:rsidP="007667A2">
                              <w:pPr>
                                <w:pStyle w:val="NormalWeb"/>
                                <w:spacing w:before="0" w:beforeAutospacing="0" w:after="0" w:afterAutospacing="0"/>
                                <w:jc w:val="center"/>
                                <w:rPr>
                                  <w:rFonts w:ascii="Arial" w:hAnsi="Arial" w:cs="Arial"/>
                                  <w:color w:val="077948"/>
                                  <w:sz w:val="21"/>
                                  <w:szCs w:val="21"/>
                                </w:rPr>
                              </w:pPr>
                              <w:r>
                                <w:rPr>
                                  <w:rFonts w:ascii="Arial" w:hAnsi="Arial" w:cs="Arial"/>
                                  <w:color w:val="077948"/>
                                  <w:sz w:val="21"/>
                                  <w:szCs w:val="21"/>
                                </w:rPr>
                                <w:t> </w:t>
                              </w:r>
                            </w:p>
                            <w:p w:rsidR="007667A2" w:rsidRDefault="007667A2" w:rsidP="007667A2">
                              <w:pPr>
                                <w:pStyle w:val="NormalWeb"/>
                                <w:spacing w:before="0" w:beforeAutospacing="0" w:after="0" w:afterAutospacing="0"/>
                                <w:jc w:val="center"/>
                                <w:rPr>
                                  <w:rFonts w:ascii="Arial" w:hAnsi="Arial" w:cs="Arial"/>
                                  <w:color w:val="077948"/>
                                  <w:sz w:val="21"/>
                                  <w:szCs w:val="21"/>
                                </w:rPr>
                              </w:pPr>
                              <w:r>
                                <w:rPr>
                                  <w:rStyle w:val="Strong"/>
                                  <w:rFonts w:ascii="Arial" w:hAnsi="Arial" w:cs="Arial"/>
                                  <w:color w:val="18264A"/>
                                  <w:sz w:val="36"/>
                                  <w:szCs w:val="36"/>
                                </w:rPr>
                                <w:t>CPA Exam into the Future: </w:t>
                              </w:r>
                              <w:r>
                                <w:rPr>
                                  <w:rFonts w:ascii="Arial" w:hAnsi="Arial" w:cs="Arial"/>
                                  <w:b/>
                                  <w:bCs/>
                                  <w:color w:val="18264A"/>
                                  <w:sz w:val="36"/>
                                  <w:szCs w:val="36"/>
                                </w:rPr>
                                <w:br/>
                              </w:r>
                              <w:r>
                                <w:rPr>
                                  <w:rStyle w:val="Strong"/>
                                  <w:rFonts w:ascii="Arial" w:hAnsi="Arial" w:cs="Arial"/>
                                  <w:color w:val="18264A"/>
                                  <w:sz w:val="36"/>
                                  <w:szCs w:val="36"/>
                                </w:rPr>
                                <w:t>Tentative Key Dates Announced</w:t>
                              </w:r>
                            </w:p>
                          </w:tc>
                        </w:tr>
                      </w:tbl>
                      <w:p w:rsidR="007667A2" w:rsidRDefault="007667A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667A2">
                          <w:trPr>
                            <w:tblCellSpacing w:w="0" w:type="dxa"/>
                          </w:trPr>
                          <w:tc>
                            <w:tcPr>
                              <w:tcW w:w="0" w:type="auto"/>
                              <w:tcMar>
                                <w:top w:w="0" w:type="dxa"/>
                                <w:left w:w="225" w:type="dxa"/>
                                <w:bottom w:w="75" w:type="dxa"/>
                                <w:right w:w="225" w:type="dxa"/>
                              </w:tcMar>
                              <w:vAlign w:val="center"/>
                              <w:hideMark/>
                            </w:tcPr>
                            <w:p w:rsidR="007667A2" w:rsidRDefault="007667A2" w:rsidP="007667A2">
                              <w:pPr>
                                <w:pStyle w:val="NormalWeb"/>
                                <w:spacing w:before="0" w:beforeAutospacing="0" w:after="240" w:afterAutospacing="0"/>
                                <w:rPr>
                                  <w:rFonts w:ascii="Helvetica" w:hAnsi="Helvetica" w:cs="Helvetica"/>
                                  <w:color w:val="163D50"/>
                                  <w:sz w:val="23"/>
                                  <w:szCs w:val="23"/>
                                </w:rPr>
                              </w:pPr>
                              <w:r>
                                <w:rPr>
                                  <w:rFonts w:ascii="Helvetica" w:hAnsi="Helvetica" w:cs="Helvetica"/>
                                  <w:color w:val="163D50"/>
                                  <w:sz w:val="23"/>
                                  <w:szCs w:val="23"/>
                                </w:rPr>
                                <w:t>To all CPA Examination Candidates:</w:t>
                              </w:r>
                            </w:p>
                            <w:p w:rsidR="007667A2" w:rsidRDefault="007667A2" w:rsidP="007667A2">
                              <w:pPr>
                                <w:pStyle w:val="NormalWeb"/>
                                <w:spacing w:before="0" w:beforeAutospacing="0" w:after="0" w:afterAutospacing="0"/>
                                <w:rPr>
                                  <w:rFonts w:ascii="Helvetica" w:hAnsi="Helvetica" w:cs="Helvetica"/>
                                  <w:color w:val="163D50"/>
                                  <w:sz w:val="23"/>
                                  <w:szCs w:val="23"/>
                                </w:rPr>
                              </w:pPr>
                              <w:r>
                                <w:rPr>
                                  <w:rFonts w:ascii="Helvetica" w:hAnsi="Helvetica" w:cs="Helvetica"/>
                                  <w:color w:val="163D50"/>
                                  <w:sz w:val="23"/>
                                  <w:szCs w:val="23"/>
                                </w:rPr>
                                <w:t>CPA Evolution is just around the corner. Have you heard of the </w:t>
                              </w:r>
                              <w:hyperlink r:id="rId7" w:tgtFrame="_blank" w:history="1">
                                <w:r>
                                  <w:rPr>
                                    <w:rStyle w:val="Hyperlink"/>
                                    <w:rFonts w:ascii="Helvetica" w:hAnsi="Helvetica" w:cs="Helvetica"/>
                                    <w:color w:val="0A00FF"/>
                                    <w:sz w:val="23"/>
                                    <w:szCs w:val="23"/>
                                  </w:rPr>
                                  <w:t>CPA Evolution</w:t>
                                </w:r>
                              </w:hyperlink>
                              <w:r>
                                <w:rPr>
                                  <w:rFonts w:ascii="Helvetica" w:hAnsi="Helvetica" w:cs="Helvetica"/>
                                  <w:color w:val="163D50"/>
                                  <w:sz w:val="23"/>
                                  <w:szCs w:val="23"/>
                                </w:rPr>
                                <w:t> initiative? Are you aware that the Uniform CPA Examination® (CPA Exam) is changing significantly in January 2024? It is important that you learn about this initiative and the upcoming changes to the CPA Exam to fully understand how it might impact your journey to CPA licensure. </w:t>
                              </w:r>
                            </w:p>
                            <w:p w:rsidR="007667A2" w:rsidRDefault="007667A2" w:rsidP="007667A2">
                              <w:pPr>
                                <w:pStyle w:val="NormalWeb"/>
                                <w:spacing w:before="0" w:beforeAutospacing="0" w:after="0" w:afterAutospacing="0"/>
                                <w:rPr>
                                  <w:rFonts w:ascii="Helvetica" w:hAnsi="Helvetica" w:cs="Helvetica"/>
                                  <w:color w:val="163D50"/>
                                  <w:sz w:val="23"/>
                                  <w:szCs w:val="23"/>
                                </w:rPr>
                              </w:pPr>
                              <w:r>
                                <w:rPr>
                                  <w:rFonts w:ascii="Helvetica" w:hAnsi="Helvetica" w:cs="Helvetica"/>
                                  <w:color w:val="163D50"/>
                                  <w:sz w:val="23"/>
                                  <w:szCs w:val="23"/>
                                </w:rPr>
                                <w:t> </w:t>
                              </w:r>
                            </w:p>
                            <w:p w:rsidR="007667A2" w:rsidRDefault="007667A2" w:rsidP="007667A2">
                              <w:pPr>
                                <w:pStyle w:val="NormalWeb"/>
                                <w:spacing w:before="0" w:beforeAutospacing="0" w:after="0" w:afterAutospacing="0"/>
                                <w:rPr>
                                  <w:rFonts w:ascii="Helvetica" w:hAnsi="Helvetica" w:cs="Helvetica"/>
                                  <w:color w:val="163D50"/>
                                  <w:sz w:val="23"/>
                                  <w:szCs w:val="23"/>
                                </w:rPr>
                              </w:pPr>
                              <w:r>
                                <w:rPr>
                                  <w:rFonts w:ascii="Helvetica" w:hAnsi="Helvetica" w:cs="Helvetica"/>
                                  <w:color w:val="163D50"/>
                                  <w:sz w:val="23"/>
                                  <w:szCs w:val="23"/>
                                </w:rPr>
                                <w:t>If you pass and retain credit for all four CPA Exam sections by December 31, 2023, the changes to the CPA Exam and its future administration will NOT impact your journey. If you will still be working your way through the CPA Exam in January 2024 and beyond, then the information about the CPA Evolution-aligned CPA Exam (the 2024 Exam) and its administration are most important to understand.  </w:t>
                              </w:r>
                            </w:p>
                            <w:p w:rsidR="007667A2" w:rsidRDefault="007667A2" w:rsidP="007667A2">
                              <w:pPr>
                                <w:pStyle w:val="NormalWeb"/>
                                <w:spacing w:before="0" w:beforeAutospacing="0" w:after="0" w:afterAutospacing="0"/>
                                <w:rPr>
                                  <w:rFonts w:ascii="Helvetica" w:hAnsi="Helvetica" w:cs="Helvetica"/>
                                  <w:color w:val="163D50"/>
                                  <w:sz w:val="23"/>
                                  <w:szCs w:val="23"/>
                                </w:rPr>
                              </w:pPr>
                              <w:r>
                                <w:rPr>
                                  <w:rFonts w:ascii="Helvetica" w:hAnsi="Helvetica" w:cs="Helvetica"/>
                                  <w:color w:val="163D50"/>
                                  <w:sz w:val="23"/>
                                  <w:szCs w:val="23"/>
                                </w:rPr>
                                <w:t> </w:t>
                              </w:r>
                            </w:p>
                            <w:p w:rsidR="007667A2" w:rsidRDefault="007667A2" w:rsidP="007667A2">
                              <w:pPr>
                                <w:pStyle w:val="NormalWeb"/>
                                <w:spacing w:before="0" w:beforeAutospacing="0" w:after="0" w:afterAutospacing="0"/>
                                <w:rPr>
                                  <w:rFonts w:ascii="Helvetica" w:hAnsi="Helvetica" w:cs="Helvetica"/>
                                  <w:color w:val="163D50"/>
                                  <w:sz w:val="23"/>
                                  <w:szCs w:val="23"/>
                                </w:rPr>
                              </w:pPr>
                              <w:r>
                                <w:rPr>
                                  <w:rFonts w:ascii="Helvetica" w:hAnsi="Helvetica" w:cs="Helvetica"/>
                                  <w:color w:val="163D50"/>
                                  <w:sz w:val="23"/>
                                  <w:szCs w:val="23"/>
                                </w:rPr>
                                <w:t xml:space="preserve">As we get closer to 2024, new information is being made available to help candidates plan their testing schedules in 2023 and into 2024. The National Association of State Boards of Accountancy (NASBA) and the American Institute of Certified Public </w:t>
                              </w:r>
                              <w:r>
                                <w:rPr>
                                  <w:rFonts w:ascii="Helvetica" w:hAnsi="Helvetica" w:cs="Helvetica"/>
                                  <w:color w:val="163D50"/>
                                  <w:sz w:val="23"/>
                                  <w:szCs w:val="23"/>
                                </w:rPr>
                                <w:lastRenderedPageBreak/>
                                <w:t>Accountants (AICPA) are now releasing </w:t>
                              </w:r>
                              <w:r>
                                <w:rPr>
                                  <w:rStyle w:val="Strong"/>
                                  <w:rFonts w:ascii="Helvetica" w:hAnsi="Helvetica" w:cs="Helvetica"/>
                                  <w:color w:val="163D50"/>
                                  <w:sz w:val="23"/>
                                  <w:szCs w:val="23"/>
                                </w:rPr>
                                <w:t>tentative</w:t>
                              </w:r>
                              <w:r>
                                <w:rPr>
                                  <w:rFonts w:ascii="Helvetica" w:hAnsi="Helvetica" w:cs="Helvetica"/>
                                  <w:color w:val="163D50"/>
                                  <w:sz w:val="23"/>
                                  <w:szCs w:val="23"/>
                                </w:rPr>
                                <w:t> application information and testing schedules for late 2023 and </w:t>
                              </w:r>
                              <w:r>
                                <w:rPr>
                                  <w:rStyle w:val="Strong"/>
                                  <w:rFonts w:ascii="Helvetica" w:hAnsi="Helvetica" w:cs="Helvetica"/>
                                  <w:color w:val="163D50"/>
                                  <w:sz w:val="23"/>
                                  <w:szCs w:val="23"/>
                                </w:rPr>
                                <w:t>tentative</w:t>
                              </w:r>
                              <w:r>
                                <w:rPr>
                                  <w:rFonts w:ascii="Helvetica" w:hAnsi="Helvetica" w:cs="Helvetica"/>
                                  <w:color w:val="163D50"/>
                                  <w:sz w:val="23"/>
                                  <w:szCs w:val="23"/>
                                </w:rPr>
                                <w:t> testing and score release schedules for 2024. It is important to note that these dates are not yet final but are being provided as early as possible to help candidates consider their testing plans. </w:t>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DFFEB"/>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DFFEB"/>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p w:rsidR="007667A2" w:rsidRDefault="007667A2">
                              <w:pPr>
                                <w:pStyle w:val="NormalWeb"/>
                                <w:spacing w:before="0" w:beforeAutospacing="0" w:after="240" w:afterAutospacing="0" w:line="338" w:lineRule="atLeast"/>
                                <w:rPr>
                                  <w:rFonts w:ascii="Arial" w:hAnsi="Arial" w:cs="Arial"/>
                                  <w:color w:val="555555"/>
                                  <w:sz w:val="23"/>
                                  <w:szCs w:val="23"/>
                                </w:rPr>
                              </w:pPr>
                              <w:r>
                                <w:rPr>
                                  <w:rStyle w:val="Strong"/>
                                  <w:rFonts w:ascii="Arial" w:hAnsi="Arial" w:cs="Arial"/>
                                  <w:color w:val="555555"/>
                                  <w:sz w:val="23"/>
                                  <w:szCs w:val="23"/>
                                </w:rPr>
                                <w:t>Important 2023 Administration Dates</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First, candidates should note that the last day of testing for all current CPA Exam sections (AUD, BEC, FAR and REG) is anticipated to be </w:t>
                              </w:r>
                              <w:r>
                                <w:rPr>
                                  <w:rStyle w:val="Strong"/>
                                  <w:rFonts w:ascii="Arial" w:hAnsi="Arial" w:cs="Arial"/>
                                  <w:color w:val="555555"/>
                                  <w:sz w:val="23"/>
                                  <w:szCs w:val="23"/>
                                </w:rPr>
                                <w:t>December 15, 2023</w:t>
                              </w:r>
                              <w:r>
                                <w:rPr>
                                  <w:rFonts w:ascii="Arial" w:hAnsi="Arial" w:cs="Arial"/>
                                  <w:color w:val="555555"/>
                                  <w:sz w:val="23"/>
                                  <w:szCs w:val="23"/>
                                </w:rPr>
                                <w:t>. No CPA Exam sections may be scheduled from December 16, 2023, through January 9, 2024, to allow for conversion of IT systems to the 2024 CPA Exam sections. Candidates are encouraged to plan their testing schedules accordingly.</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 xml:space="preserve">In addition, candidates wishing to take BEC in the latter part of 2023 need to know that the NASBA Gateway system will stop processing Authorizations to Test and Notices to Schedule for BEC on November 15, 2023. This will necessitate that Boards of Accountancy require final application deadlines (first-time and </w:t>
                              </w:r>
                              <w:proofErr w:type="spellStart"/>
                              <w:r>
                                <w:rPr>
                                  <w:rFonts w:ascii="Arial" w:hAnsi="Arial" w:cs="Arial"/>
                                  <w:color w:val="555555"/>
                                  <w:sz w:val="23"/>
                                  <w:szCs w:val="23"/>
                                </w:rPr>
                                <w:t>reexam</w:t>
                              </w:r>
                              <w:proofErr w:type="spellEnd"/>
                              <w:r>
                                <w:rPr>
                                  <w:rFonts w:ascii="Arial" w:hAnsi="Arial" w:cs="Arial"/>
                                  <w:color w:val="555555"/>
                                  <w:sz w:val="23"/>
                                  <w:szCs w:val="23"/>
                                </w:rPr>
                                <w:t>) for BEC sections. These deadlines are yet to be determined and will be published on NASBA’s website once they become available, and shared by each Board of Accountancy. </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Conversely, Boards of Accountancy will also need to establish initial application acceptance dates for discipline sections: Business Analysis and Reporting (BAR), Information Systems and Controls (ISC), and Tax Compliance and Planning (TCP). Authorizations to Test and Notices to Schedule for BAR, ISC and TCP will not be processed by NASBA’s Gateway system until November 22, 2023. These initial acceptance dates are also yet to be determined and will be published on NASBA’s website once they become available, and shared by each Board of Accountancy.</w:t>
                              </w:r>
                            </w:p>
                            <w:p w:rsidR="007667A2" w:rsidRDefault="007667A2">
                              <w:pPr>
                                <w:pStyle w:val="NormalWeb"/>
                                <w:spacing w:before="0" w:beforeAutospacing="0" w:after="0" w:afterAutospacing="0" w:line="338" w:lineRule="atLeast"/>
                                <w:rPr>
                                  <w:rFonts w:ascii="Arial" w:hAnsi="Arial" w:cs="Arial"/>
                                  <w:color w:val="555555"/>
                                  <w:sz w:val="23"/>
                                  <w:szCs w:val="23"/>
                                </w:rPr>
                              </w:pPr>
                              <w:r>
                                <w:rPr>
                                  <w:rFonts w:ascii="Arial" w:hAnsi="Arial" w:cs="Arial"/>
                                  <w:color w:val="555555"/>
                                  <w:sz w:val="23"/>
                                  <w:szCs w:val="23"/>
                                </w:rPr>
                                <w:t>AUD, FAR and REG applications can be continually submitted and processed as the same codes will be used for the core sections that will start in 2024, however the scheduling blackouts do apply.</w:t>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p w:rsidR="007667A2" w:rsidRDefault="007667A2">
                              <w:pPr>
                                <w:pStyle w:val="NormalWeb"/>
                                <w:spacing w:before="0" w:beforeAutospacing="0" w:after="240" w:afterAutospacing="0" w:line="338" w:lineRule="atLeast"/>
                                <w:rPr>
                                  <w:rFonts w:ascii="Arial" w:hAnsi="Arial" w:cs="Arial"/>
                                  <w:color w:val="555555"/>
                                  <w:sz w:val="23"/>
                                  <w:szCs w:val="23"/>
                                </w:rPr>
                              </w:pPr>
                              <w:r>
                                <w:rPr>
                                  <w:rStyle w:val="Strong"/>
                                  <w:rFonts w:ascii="Arial" w:hAnsi="Arial" w:cs="Arial"/>
                                  <w:color w:val="555555"/>
                                  <w:sz w:val="23"/>
                                  <w:szCs w:val="23"/>
                                </w:rPr>
                                <w:t>Important 2024 Administration Dates</w:t>
                              </w:r>
                            </w:p>
                            <w:p w:rsidR="007667A2" w:rsidRDefault="007667A2">
                              <w:pPr>
                                <w:pStyle w:val="NormalWeb"/>
                                <w:spacing w:before="0" w:beforeAutospacing="0" w:after="0" w:afterAutospacing="0" w:line="338" w:lineRule="atLeast"/>
                                <w:rPr>
                                  <w:rFonts w:ascii="Arial" w:hAnsi="Arial" w:cs="Arial"/>
                                  <w:color w:val="555555"/>
                                  <w:sz w:val="23"/>
                                  <w:szCs w:val="23"/>
                                </w:rPr>
                              </w:pPr>
                              <w:r>
                                <w:rPr>
                                  <w:rFonts w:ascii="Arial" w:hAnsi="Arial" w:cs="Arial"/>
                                  <w:color w:val="555555"/>
                                  <w:sz w:val="23"/>
                                  <w:szCs w:val="23"/>
                                </w:rPr>
                                <w:t>AICPA has published the tentative 2024 CPA Exam testing schedule and score release schedule.  Please note that these dates are tentative pending further review by AICPA.</w:t>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667A2">
                          <w:trPr>
                            <w:tblCellSpacing w:w="0" w:type="dxa"/>
                          </w:trPr>
                          <w:tc>
                            <w:tcPr>
                              <w:tcW w:w="9600" w:type="dxa"/>
                              <w:vAlign w:val="center"/>
                              <w:hideMark/>
                            </w:tcPr>
                            <w:p w:rsidR="007667A2" w:rsidRDefault="007667A2">
                              <w:pPr>
                                <w:spacing w:line="150" w:lineRule="atLeast"/>
                                <w:jc w:val="center"/>
                              </w:pPr>
                              <w:bookmarkStart w:id="0" w:name="_GoBack" w:colFirst="0" w:colLast="0"/>
                              <w:r>
                                <w:rPr>
                                  <w:noProof/>
                                </w:rPr>
                                <w:lastRenderedPageBreak/>
                                <w:drawing>
                                  <wp:inline distT="0" distB="0" distL="0" distR="0" wp14:anchorId="789243A8" wp14:editId="058DA28F">
                                    <wp:extent cx="6096000" cy="3143250"/>
                                    <wp:effectExtent l="0" t="0" r="0" b="0"/>
                                    <wp:docPr id="3" name="Picture 3" descr="https://ecp.yusercontent.com/mail?url=https%3A%2F%2Fd31hzlhk6di2h5.cloudfront.net%2F20221103%2F97%2F17%2F76%2F53%2F965c218ca267710896f44b27_640xauto.jpg&amp;t=1670863826&amp;ymreqid=5b697d50-1588-05a5-1cd4-380011016c00&amp;sig=xGQbbzx9peCvrj0U2z2e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cp.yusercontent.com/mail?url=https%3A%2F%2Fd31hzlhk6di2h5.cloudfront.net%2F20221103%2F97%2F17%2F76%2F53%2F965c218ca267710896f44b27_640xauto.jpg&amp;t=1670863826&amp;ymreqid=5b697d50-1588-05a5-1cd4-380011016c00&amp;sig=xGQbbzx9peCvrj0U2z2eb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143250"/>
                                            </a:xfrm>
                                            <a:prstGeom prst="rect">
                                              <a:avLst/>
                                            </a:prstGeom>
                                            <a:noFill/>
                                            <a:ln>
                                              <a:noFill/>
                                            </a:ln>
                                          </pic:spPr>
                                        </pic:pic>
                                      </a:graphicData>
                                    </a:graphic>
                                  </wp:inline>
                                </w:drawing>
                              </w:r>
                            </w:p>
                          </w:tc>
                        </w:tr>
                        <w:bookmarkEnd w:id="0"/>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p w:rsidR="007667A2" w:rsidRDefault="007667A2">
                              <w:pPr>
                                <w:pStyle w:val="NormalWeb"/>
                                <w:spacing w:before="0" w:beforeAutospacing="0" w:after="0" w:afterAutospacing="0" w:line="338" w:lineRule="atLeast"/>
                                <w:rPr>
                                  <w:rFonts w:ascii="Arial" w:hAnsi="Arial" w:cs="Arial"/>
                                  <w:color w:val="555555"/>
                                  <w:sz w:val="23"/>
                                  <w:szCs w:val="23"/>
                                </w:rPr>
                              </w:pPr>
                              <w:r>
                                <w:rPr>
                                  <w:rFonts w:ascii="Arial" w:hAnsi="Arial" w:cs="Arial"/>
                                  <w:color w:val="555555"/>
                                  <w:sz w:val="23"/>
                                  <w:szCs w:val="23"/>
                                </w:rPr>
                                <w:t>It is anticipated that testing will commence on </w:t>
                              </w:r>
                              <w:r>
                                <w:rPr>
                                  <w:rStyle w:val="Strong"/>
                                  <w:rFonts w:ascii="Arial" w:hAnsi="Arial" w:cs="Arial"/>
                                  <w:color w:val="555555"/>
                                  <w:sz w:val="23"/>
                                  <w:szCs w:val="23"/>
                                </w:rPr>
                                <w:t>January 10, 2024,</w:t>
                              </w:r>
                              <w:r>
                                <w:rPr>
                                  <w:rFonts w:ascii="Arial" w:hAnsi="Arial" w:cs="Arial"/>
                                  <w:color w:val="555555"/>
                                  <w:sz w:val="23"/>
                                  <w:szCs w:val="23"/>
                                </w:rPr>
                                <w:t> for all sections. While the core sections (AUD, FAR and REG) will first be available for scheduling through March 26, 2024, in the first quarter of 2024, the discipline sections (BAR, ISC and TCP) will be available through February 6, 2024. Scores are anticipated to only be released once per test section per quarter due to necessary standard-setting analyses and activities.</w:t>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p w:rsidR="007667A2" w:rsidRDefault="007667A2">
                              <w:pPr>
                                <w:pStyle w:val="NormalWeb"/>
                                <w:spacing w:before="0" w:beforeAutospacing="0" w:after="240" w:afterAutospacing="0" w:line="338" w:lineRule="atLeast"/>
                                <w:rPr>
                                  <w:rFonts w:ascii="Arial" w:hAnsi="Arial" w:cs="Arial"/>
                                  <w:color w:val="555555"/>
                                  <w:sz w:val="23"/>
                                  <w:szCs w:val="23"/>
                                </w:rPr>
                              </w:pPr>
                              <w:r>
                                <w:rPr>
                                  <w:rStyle w:val="Strong"/>
                                  <w:rFonts w:ascii="Arial" w:hAnsi="Arial" w:cs="Arial"/>
                                  <w:color w:val="555555"/>
                                  <w:sz w:val="23"/>
                                  <w:szCs w:val="23"/>
                                </w:rPr>
                                <w:t>Boards of Accountancy Considering Credit Extension and Other Relief</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Due to the limited testing schedule and delayed score releases in 2024, the CBT Administration and Executive Directors Committees of NASBA have recommended a policy to Boards of Accountancy for consideration, which would allow candidates with Uniform CPA Examination credit(s) on January 1, 2024, to have such credit(s) extended to June 30, 2025. </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Each Board of Accountancy must individually consider if it wishes to adopt such a policy. NASBA has published </w:t>
                              </w:r>
                              <w:hyperlink r:id="rId9" w:tgtFrame="_blank" w:history="1">
                                <w:r>
                                  <w:rPr>
                                    <w:rStyle w:val="Hyperlink"/>
                                    <w:rFonts w:ascii="Arial" w:hAnsi="Arial" w:cs="Arial"/>
                                    <w:color w:val="0068A5"/>
                                    <w:sz w:val="23"/>
                                    <w:szCs w:val="23"/>
                                  </w:rPr>
                                  <w:t>a map</w:t>
                                </w:r>
                              </w:hyperlink>
                              <w:r>
                                <w:rPr>
                                  <w:rFonts w:ascii="Arial" w:hAnsi="Arial" w:cs="Arial"/>
                                  <w:color w:val="555555"/>
                                  <w:sz w:val="23"/>
                                  <w:szCs w:val="23"/>
                                </w:rPr>
                                <w:t> on its website, which will be updated as boards consider the policy. To date, 39 jurisdictions have already approved the policy. Others will be reviewing it at upcoming board meetings.  In some states, the board may be favorably inclined to adopt the policy, but legislative rule making may be required, which could take some time.</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Boards of Accountancy will also be asked to consider a rule change that is currently under</w:t>
                              </w:r>
                              <w:r>
                                <w:rPr>
                                  <w:rFonts w:ascii="Arial" w:hAnsi="Arial" w:cs="Arial"/>
                                  <w:color w:val="555555"/>
                                  <w:sz w:val="23"/>
                                  <w:szCs w:val="23"/>
                                  <w:shd w:val="clear" w:color="auto" w:fill="EBFF00"/>
                                </w:rPr>
                                <w:t> </w:t>
                              </w:r>
                              <w:hyperlink r:id="rId10" w:tgtFrame="_blank" w:history="1">
                                <w:r>
                                  <w:rPr>
                                    <w:rStyle w:val="Hyperlink"/>
                                    <w:rFonts w:ascii="Arial" w:hAnsi="Arial" w:cs="Arial"/>
                                    <w:color w:val="0068A5"/>
                                    <w:sz w:val="23"/>
                                    <w:szCs w:val="23"/>
                                  </w:rPr>
                                  <w:t>exposure for comment</w:t>
                                </w:r>
                              </w:hyperlink>
                              <w:r>
                                <w:rPr>
                                  <w:rFonts w:ascii="Arial" w:hAnsi="Arial" w:cs="Arial"/>
                                  <w:color w:val="555555"/>
                                  <w:sz w:val="23"/>
                                  <w:szCs w:val="23"/>
                                </w:rPr>
                                <w:t xml:space="preserve">. It is anticipated that the model rule under the Uniform </w:t>
                              </w:r>
                              <w:r>
                                <w:rPr>
                                  <w:rFonts w:ascii="Arial" w:hAnsi="Arial" w:cs="Arial"/>
                                  <w:color w:val="555555"/>
                                  <w:sz w:val="23"/>
                                  <w:szCs w:val="23"/>
                                </w:rPr>
                                <w:lastRenderedPageBreak/>
                                <w:t>Accountancy Act, could be available in final form by early 2023. Such a rule, if adopted by a Board of Accountancy, would shift the start date of the 18-month credit period to the date a passing score was released by NASBA to the candidate or a board. Currently, many boards utilize earlier dates such as the date a candidate tests. If adopted, this could provide additional relief to candidates. Each board must decide whether or not to change their rules. This will be a longer-term initiative, as rule changes can take some time, depending on the jurisdiction. NASBA will develop and publish a map showing jurisdictional rules on this topic in the near future.</w:t>
                              </w:r>
                            </w:p>
                            <w:p w:rsidR="007667A2" w:rsidRDefault="007667A2">
                              <w:pPr>
                                <w:pStyle w:val="NormalWeb"/>
                                <w:spacing w:before="0" w:beforeAutospacing="0" w:after="240" w:afterAutospacing="0" w:line="338" w:lineRule="atLeast"/>
                                <w:rPr>
                                  <w:rFonts w:ascii="Arial" w:hAnsi="Arial" w:cs="Arial"/>
                                  <w:color w:val="555555"/>
                                  <w:sz w:val="23"/>
                                  <w:szCs w:val="23"/>
                                </w:rPr>
                              </w:pPr>
                              <w:r>
                                <w:rPr>
                                  <w:rStyle w:val="Strong"/>
                                  <w:rFonts w:ascii="Arial" w:hAnsi="Arial" w:cs="Arial"/>
                                  <w:color w:val="555555"/>
                                  <w:sz w:val="23"/>
                                  <w:szCs w:val="23"/>
                                </w:rPr>
                                <w:t>Transition Policy Reminder</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The new CPA licensure and CPA Exam model is a Core and Discipline model. In February 2022, a </w:t>
                              </w:r>
                              <w:hyperlink r:id="rId11" w:tgtFrame="_blank" w:history="1">
                                <w:r>
                                  <w:rPr>
                                    <w:rStyle w:val="Hyperlink"/>
                                    <w:rFonts w:ascii="Arial" w:hAnsi="Arial" w:cs="Arial"/>
                                    <w:color w:val="0068A5"/>
                                    <w:sz w:val="23"/>
                                    <w:szCs w:val="23"/>
                                  </w:rPr>
                                  <w:t>transition policy</w:t>
                                </w:r>
                              </w:hyperlink>
                              <w:r>
                                <w:rPr>
                                  <w:rFonts w:ascii="Arial" w:hAnsi="Arial" w:cs="Arial"/>
                                  <w:color w:val="555555"/>
                                  <w:sz w:val="23"/>
                                  <w:szCs w:val="23"/>
                                </w:rPr>
                                <w:t> was announced. This policy lays out how CPA Exam sections passed under the current CPA Exam map to credit under the 2024 CPA Exam. Candidates who will start taking the CPA Exam in 2023 but continue to take sections in 2024 should review this policy and the FAQs on NASBA’s website.</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It’s never been a more exciting time to pursue the CPA license. The role of today’s CPA has evolved, and newly licensed CPAs are taking on increased responsibilities that were traditionally assigned to more experienced staff. Becoming a CPA means you’ll need great skill sets and competencies, and a greater knowledge of emerging technologies. That is why the CPA Evolution initiative is underway. </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As additional information becomes available pertaining to CPA Evolution and the 2024 CPA Exam, we will continue to share it with you. </w:t>
                              </w:r>
                            </w:p>
                            <w:p w:rsidR="007667A2" w:rsidRDefault="007667A2">
                              <w:pPr>
                                <w:pStyle w:val="NormalWeb"/>
                                <w:spacing w:before="0" w:beforeAutospacing="0" w:after="240" w:afterAutospacing="0" w:line="338" w:lineRule="atLeast"/>
                                <w:rPr>
                                  <w:rFonts w:ascii="Arial" w:hAnsi="Arial" w:cs="Arial"/>
                                  <w:color w:val="555555"/>
                                  <w:sz w:val="23"/>
                                  <w:szCs w:val="23"/>
                                </w:rPr>
                              </w:pPr>
                              <w:hyperlink r:id="rId12" w:tgtFrame="_blank" w:history="1">
                                <w:r>
                                  <w:rPr>
                                    <w:rStyle w:val="Hyperlink"/>
                                    <w:rFonts w:ascii="Arial" w:hAnsi="Arial" w:cs="Arial"/>
                                    <w:color w:val="0068A5"/>
                                    <w:sz w:val="23"/>
                                    <w:szCs w:val="23"/>
                                  </w:rPr>
                                  <w:t>FAQS</w:t>
                                </w:r>
                              </w:hyperlink>
                              <w:r>
                                <w:rPr>
                                  <w:rFonts w:ascii="Arial" w:hAnsi="Arial" w:cs="Arial"/>
                                  <w:color w:val="555555"/>
                                  <w:sz w:val="23"/>
                                  <w:szCs w:val="23"/>
                                </w:rPr>
                                <w:t> are available that might answer some of your more detailed questions regarding the information provided above, as well as the transition policy released in February 2022.</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Additional information and FAQs regarding the CPA Evolution initiative are available at </w:t>
                              </w:r>
                              <w:hyperlink r:id="rId13" w:tgtFrame="_blank" w:history="1">
                                <w:r>
                                  <w:rPr>
                                    <w:rStyle w:val="Hyperlink"/>
                                    <w:rFonts w:ascii="Arial" w:hAnsi="Arial" w:cs="Arial"/>
                                    <w:color w:val="0068A5"/>
                                    <w:sz w:val="23"/>
                                    <w:szCs w:val="23"/>
                                  </w:rPr>
                                  <w:t>EvolutionofCPA.org</w:t>
                                </w:r>
                              </w:hyperlink>
                              <w:r>
                                <w:rPr>
                                  <w:rFonts w:ascii="Arial" w:hAnsi="Arial" w:cs="Arial"/>
                                  <w:color w:val="555555"/>
                                  <w:sz w:val="23"/>
                                  <w:szCs w:val="23"/>
                                </w:rPr>
                                <w:t>. If your questions on the new CPA licensure model and CPA Exam are still not answered, please reach out to us at </w:t>
                              </w:r>
                              <w:hyperlink r:id="rId14" w:tgtFrame="_blank" w:history="1">
                                <w:r>
                                  <w:rPr>
                                    <w:rStyle w:val="Hyperlink"/>
                                    <w:rFonts w:ascii="Arial" w:hAnsi="Arial" w:cs="Arial"/>
                                    <w:color w:val="0068A5"/>
                                    <w:sz w:val="23"/>
                                    <w:szCs w:val="23"/>
                                  </w:rPr>
                                  <w:t>Feedback@EvolutionofCPA.org</w:t>
                                </w:r>
                              </w:hyperlink>
                              <w:r>
                                <w:rPr>
                                  <w:rFonts w:ascii="Arial" w:hAnsi="Arial" w:cs="Arial"/>
                                  <w:color w:val="555555"/>
                                  <w:sz w:val="23"/>
                                  <w:szCs w:val="23"/>
                                </w:rPr>
                                <w:t>.</w:t>
                              </w:r>
                            </w:p>
                            <w:p w:rsidR="007667A2" w:rsidRDefault="007667A2">
                              <w:pPr>
                                <w:pStyle w:val="NormalWeb"/>
                                <w:spacing w:before="0" w:beforeAutospacing="0" w:after="240" w:afterAutospacing="0" w:line="338" w:lineRule="atLeast"/>
                                <w:rPr>
                                  <w:rFonts w:ascii="Arial" w:hAnsi="Arial" w:cs="Arial"/>
                                  <w:color w:val="555555"/>
                                  <w:sz w:val="23"/>
                                  <w:szCs w:val="23"/>
                                </w:rPr>
                              </w:pPr>
                              <w:r>
                                <w:rPr>
                                  <w:rFonts w:ascii="Arial" w:hAnsi="Arial" w:cs="Arial"/>
                                  <w:color w:val="555555"/>
                                  <w:sz w:val="23"/>
                                  <w:szCs w:val="23"/>
                                </w:rPr>
                                <w:t>For information on becoming a CPA, please visit </w:t>
                              </w:r>
                              <w:hyperlink r:id="rId15" w:tgtFrame="_blank" w:history="1">
                                <w:r>
                                  <w:rPr>
                                    <w:rStyle w:val="Hyperlink"/>
                                    <w:rFonts w:ascii="Arial" w:hAnsi="Arial" w:cs="Arial"/>
                                    <w:color w:val="0068A5"/>
                                    <w:sz w:val="23"/>
                                    <w:szCs w:val="23"/>
                                  </w:rPr>
                                  <w:t>This Way to CPA</w:t>
                                </w:r>
                              </w:hyperlink>
                              <w:r>
                                <w:rPr>
                                  <w:rFonts w:ascii="Arial" w:hAnsi="Arial" w:cs="Arial"/>
                                  <w:color w:val="555555"/>
                                  <w:sz w:val="23"/>
                                  <w:szCs w:val="23"/>
                                </w:rPr>
                                <w:t>.</w:t>
                              </w:r>
                            </w:p>
                            <w:p w:rsidR="007667A2" w:rsidRDefault="007667A2">
                              <w:pPr>
                                <w:pStyle w:val="NormalWeb"/>
                                <w:spacing w:before="0" w:beforeAutospacing="0" w:after="0" w:afterAutospacing="0" w:line="338" w:lineRule="atLeast"/>
                                <w:rPr>
                                  <w:rFonts w:ascii="Arial" w:hAnsi="Arial" w:cs="Arial"/>
                                  <w:color w:val="555555"/>
                                  <w:sz w:val="23"/>
                                  <w:szCs w:val="23"/>
                                </w:rPr>
                              </w:pPr>
                              <w:r>
                                <w:rPr>
                                  <w:rStyle w:val="Emphasis"/>
                                  <w:rFonts w:ascii="Arial" w:hAnsi="Arial" w:cs="Arial"/>
                                  <w:b/>
                                  <w:bCs/>
                                  <w:color w:val="555555"/>
                                  <w:sz w:val="23"/>
                                  <w:szCs w:val="23"/>
                                </w:rPr>
                                <w:lastRenderedPageBreak/>
                                <w:t>This communication to CPA Exam candidates has been shared with Boards of Accountancy, State CPA Societies, accounting academia, CPA Exam review course providers and other accounting organizations.</w:t>
                              </w: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780"/>
                                <w:gridCol w:w="780"/>
                                <w:gridCol w:w="780"/>
                                <w:gridCol w:w="780"/>
                              </w:tblGrid>
                              <w:tr w:rsidR="007667A2">
                                <w:trPr>
                                  <w:tblCellSpacing w:w="0" w:type="dxa"/>
                                  <w:jc w:val="center"/>
                                </w:trPr>
                                <w:tc>
                                  <w:tcPr>
                                    <w:tcW w:w="0" w:type="auto"/>
                                    <w:tcMar>
                                      <w:top w:w="0" w:type="dxa"/>
                                      <w:left w:w="150" w:type="dxa"/>
                                      <w:bottom w:w="0" w:type="dxa"/>
                                      <w:right w:w="150" w:type="dxa"/>
                                    </w:tcMar>
                                    <w:vAlign w:val="center"/>
                                    <w:hideMark/>
                                  </w:tcPr>
                                  <w:p w:rsidR="007667A2" w:rsidRDefault="007667A2">
                                    <w:r>
                                      <w:rPr>
                                        <w:noProof/>
                                        <w:color w:val="196AD4"/>
                                      </w:rPr>
                                      <w:drawing>
                                        <wp:inline distT="0" distB="0" distL="0" distR="0" wp14:anchorId="1E3A8A3B" wp14:editId="4BBD199F">
                                          <wp:extent cx="304800" cy="304800"/>
                                          <wp:effectExtent l="0" t="0" r="0" b="0"/>
                                          <wp:docPr id="4" name="Picture 4" descr="Facebo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150" w:type="dxa"/>
                                      <w:bottom w:w="0" w:type="dxa"/>
                                      <w:right w:w="150" w:type="dxa"/>
                                    </w:tcMar>
                                    <w:vAlign w:val="center"/>
                                    <w:hideMark/>
                                  </w:tcPr>
                                  <w:p w:rsidR="007667A2" w:rsidRDefault="007667A2">
                                    <w:r>
                                      <w:rPr>
                                        <w:noProof/>
                                        <w:color w:val="196AD4"/>
                                      </w:rPr>
                                      <w:drawing>
                                        <wp:inline distT="0" distB="0" distL="0" distR="0" wp14:anchorId="46D5B933" wp14:editId="28C0F4BF">
                                          <wp:extent cx="304800" cy="304800"/>
                                          <wp:effectExtent l="0" t="0" r="0" b="0"/>
                                          <wp:docPr id="5" name="Picture 5" descr="Twitter">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itter">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150" w:type="dxa"/>
                                      <w:bottom w:w="0" w:type="dxa"/>
                                      <w:right w:w="150" w:type="dxa"/>
                                    </w:tcMar>
                                    <w:vAlign w:val="center"/>
                                    <w:hideMark/>
                                  </w:tcPr>
                                  <w:p w:rsidR="007667A2" w:rsidRDefault="007667A2">
                                    <w:r>
                                      <w:rPr>
                                        <w:noProof/>
                                        <w:color w:val="196AD4"/>
                                      </w:rPr>
                                      <w:drawing>
                                        <wp:inline distT="0" distB="0" distL="0" distR="0" wp14:anchorId="102EA31C" wp14:editId="230921FA">
                                          <wp:extent cx="304800" cy="304800"/>
                                          <wp:effectExtent l="0" t="0" r="0" b="0"/>
                                          <wp:docPr id="6" name="Picture 6" descr="Instagram">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agram">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150" w:type="dxa"/>
                                      <w:bottom w:w="0" w:type="dxa"/>
                                      <w:right w:w="150" w:type="dxa"/>
                                    </w:tcMar>
                                    <w:vAlign w:val="center"/>
                                    <w:hideMark/>
                                  </w:tcPr>
                                  <w:p w:rsidR="007667A2" w:rsidRDefault="007667A2">
                                    <w:r>
                                      <w:rPr>
                                        <w:noProof/>
                                        <w:color w:val="196AD4"/>
                                      </w:rPr>
                                      <w:drawing>
                                        <wp:inline distT="0" distB="0" distL="0" distR="0" wp14:anchorId="68342AE2" wp14:editId="19C89CA8">
                                          <wp:extent cx="304800" cy="304800"/>
                                          <wp:effectExtent l="0" t="0" r="0" b="0"/>
                                          <wp:docPr id="7" name="Picture 7" descr="LinkedIn">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667A2" w:rsidRDefault="007667A2">
                              <w:pPr>
                                <w:jc w:val="center"/>
                              </w:pP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vAlign w:val="center"/>
                  <w:hideMark/>
                </w:tcPr>
                <w:tbl>
                  <w:tblPr>
                    <w:tblW w:w="9600" w:type="dxa"/>
                    <w:jc w:val="center"/>
                    <w:tblCellSpacing w:w="0" w:type="dxa"/>
                    <w:shd w:val="clear" w:color="auto" w:fill="555555"/>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555555"/>
                        <w:tcMar>
                          <w:top w:w="75" w:type="dxa"/>
                          <w:left w:w="0" w:type="dxa"/>
                          <w:bottom w:w="75" w:type="dxa"/>
                          <w:right w:w="0" w:type="dxa"/>
                        </w:tcMa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00"/>
                        </w:tblGrid>
                        <w:tr w:rsidR="007667A2">
                          <w:trPr>
                            <w:tblCellSpacing w:w="0" w:type="dxa"/>
                          </w:trPr>
                          <w:tc>
                            <w:tcPr>
                              <w:tcW w:w="0" w:type="auto"/>
                              <w:vAlign w:val="center"/>
                              <w:hideMark/>
                            </w:tcPr>
                            <w:p w:rsidR="007667A2" w:rsidRDefault="007667A2" w:rsidP="007667A2">
                              <w:pPr>
                                <w:pStyle w:val="NormalWeb"/>
                                <w:spacing w:before="0" w:beforeAutospacing="0" w:after="0" w:afterAutospacing="0"/>
                                <w:jc w:val="center"/>
                                <w:rPr>
                                  <w:rFonts w:ascii="Arial" w:hAnsi="Arial" w:cs="Arial"/>
                                  <w:color w:val="FFFFFF"/>
                                  <w:sz w:val="21"/>
                                  <w:szCs w:val="21"/>
                                </w:rPr>
                              </w:pPr>
                              <w:r>
                                <w:rPr>
                                  <w:rFonts w:ascii="Arial" w:hAnsi="Arial" w:cs="Arial"/>
                                  <w:color w:val="FFFFFF"/>
                                  <w:sz w:val="15"/>
                                  <w:szCs w:val="15"/>
                                </w:rPr>
                                <w:t>NASBA | 150 Fourth Avenue North | Suite 700 | Nashville, TN | 37219-2417</w:t>
                              </w:r>
                              <w:r>
                                <w:rPr>
                                  <w:rFonts w:ascii="Arial" w:hAnsi="Arial" w:cs="Arial"/>
                                  <w:color w:val="FFFFFF"/>
                                  <w:sz w:val="21"/>
                                  <w:szCs w:val="21"/>
                                </w:rPr>
                                <w:br/>
                              </w:r>
                              <w:r>
                                <w:rPr>
                                  <w:rFonts w:ascii="Arial" w:hAnsi="Arial" w:cs="Arial"/>
                                  <w:color w:val="FFFFFF"/>
                                  <w:sz w:val="15"/>
                                  <w:szCs w:val="15"/>
                                </w:rPr>
                                <w:t>Phone: 615-880-4200 | Website: </w:t>
                              </w:r>
                              <w:hyperlink r:id="rId24" w:tgtFrame="_blank" w:history="1">
                                <w:r>
                                  <w:rPr>
                                    <w:rStyle w:val="Hyperlink"/>
                                    <w:rFonts w:ascii="Arial" w:hAnsi="Arial" w:cs="Arial"/>
                                    <w:color w:val="196AD4"/>
                                    <w:sz w:val="15"/>
                                    <w:szCs w:val="15"/>
                                  </w:rPr>
                                  <w:t>www.nasba.org</w:t>
                                </w:r>
                              </w:hyperlink>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shd w:val="clear" w:color="auto" w:fill="F6F7F8"/>
              <w:tblCellMar>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shd w:val="clear" w:color="auto" w:fill="F6F7F8"/>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7667A2">
                    <w:trPr>
                      <w:tblCellSpacing w:w="0" w:type="dxa"/>
                      <w:jc w:val="center"/>
                    </w:trPr>
                    <w:tc>
                      <w:tcPr>
                        <w:tcW w:w="5000" w:type="pct"/>
                        <w:tcBorders>
                          <w:top w:val="nil"/>
                          <w:left w:val="nil"/>
                          <w:bottom w:val="nil"/>
                          <w:right w:val="nil"/>
                        </w:tcBorders>
                        <w:shd w:val="clear" w:color="auto" w:fill="FFFFFF"/>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7667A2">
                          <w:trPr>
                            <w:tblCellSpacing w:w="0" w:type="dxa"/>
                          </w:trPr>
                          <w:tc>
                            <w:tcPr>
                              <w:tcW w:w="0" w:type="auto"/>
                              <w:tcMar>
                                <w:top w:w="150" w:type="dxa"/>
                                <w:left w:w="0" w:type="dxa"/>
                                <w:bottom w:w="150" w:type="dxa"/>
                                <w:right w:w="0" w:type="dxa"/>
                              </w:tcMar>
                              <w:vAlign w:val="center"/>
                              <w:hideMark/>
                            </w:tcPr>
                            <w:p w:rsidR="007667A2" w:rsidRDefault="007667A2" w:rsidP="007667A2">
                              <w:pPr>
                                <w:pStyle w:val="NormalWeb"/>
                                <w:spacing w:before="0" w:beforeAutospacing="0" w:after="0" w:afterAutospacing="0"/>
                                <w:rPr>
                                  <w:rFonts w:ascii="Helvetica" w:hAnsi="Helvetica" w:cs="Helvetica"/>
                                  <w:color w:val="9D9E9F"/>
                                  <w:sz w:val="21"/>
                                  <w:szCs w:val="21"/>
                                </w:rPr>
                              </w:pPr>
                            </w:p>
                          </w:tc>
                        </w:tr>
                      </w:tbl>
                      <w:p w:rsidR="007667A2" w:rsidRDefault="007667A2">
                        <w:pPr>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600"/>
                        </w:tblGrid>
                        <w:tr w:rsidR="007667A2">
                          <w:trPr>
                            <w:tblCellSpacing w:w="0" w:type="dxa"/>
                          </w:trPr>
                          <w:tc>
                            <w:tcPr>
                              <w:tcW w:w="0" w:type="auto"/>
                              <w:tcMar>
                                <w:top w:w="150" w:type="dxa"/>
                                <w:left w:w="0" w:type="dxa"/>
                                <w:bottom w:w="150" w:type="dxa"/>
                                <w:right w:w="0" w:type="dxa"/>
                              </w:tcMar>
                              <w:vAlign w:val="center"/>
                              <w:hideMark/>
                            </w:tcPr>
                            <w:p w:rsidR="007667A2" w:rsidRDefault="007667A2" w:rsidP="007667A2">
                              <w:pPr>
                                <w:pStyle w:val="NormalWeb"/>
                                <w:spacing w:before="0" w:beforeAutospacing="0" w:after="0" w:afterAutospacing="0"/>
                                <w:rPr>
                                  <w:rFonts w:ascii="Helvetica" w:hAnsi="Helvetica" w:cs="Helvetica"/>
                                  <w:color w:val="9D9E9F"/>
                                  <w:sz w:val="21"/>
                                  <w:szCs w:val="21"/>
                                </w:rPr>
                              </w:pPr>
                            </w:p>
                          </w:tc>
                        </w:tr>
                      </w:tbl>
                      <w:p w:rsidR="007667A2" w:rsidRDefault="007667A2">
                        <w:pPr>
                          <w:rPr>
                            <w:color w:val="000000"/>
                          </w:rPr>
                        </w:pPr>
                      </w:p>
                    </w:tc>
                  </w:tr>
                </w:tbl>
                <w:p w:rsidR="007667A2" w:rsidRDefault="007667A2"/>
              </w:tc>
            </w:tr>
          </w:tbl>
          <w:p w:rsidR="007667A2" w:rsidRDefault="007667A2">
            <w:pPr>
              <w:rPr>
                <w:vanish/>
              </w:rPr>
            </w:pPr>
          </w:p>
          <w:tbl>
            <w:tblPr>
              <w:tblW w:w="5000" w:type="pct"/>
              <w:jc w:val="center"/>
              <w:tblCellSpacing w:w="0" w:type="dxa"/>
              <w:shd w:val="clear" w:color="auto" w:fill="F6F7F8"/>
              <w:tblCellMar>
                <w:top w:w="150" w:type="dxa"/>
                <w:left w:w="0" w:type="dxa"/>
                <w:right w:w="0" w:type="dxa"/>
              </w:tblCellMar>
              <w:tblLook w:val="04A0" w:firstRow="1" w:lastRow="0" w:firstColumn="1" w:lastColumn="0" w:noHBand="0" w:noVBand="1"/>
            </w:tblPr>
            <w:tblGrid>
              <w:gridCol w:w="9360"/>
            </w:tblGrid>
            <w:tr w:rsidR="007667A2">
              <w:trPr>
                <w:tblCellSpacing w:w="0" w:type="dxa"/>
                <w:jc w:val="center"/>
              </w:trPr>
              <w:tc>
                <w:tcPr>
                  <w:tcW w:w="0" w:type="auto"/>
                  <w:shd w:val="clear" w:color="auto" w:fill="F6F7F8"/>
                  <w:vAlign w:val="center"/>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7200"/>
                    <w:gridCol w:w="2400"/>
                  </w:tblGrid>
                  <w:tr w:rsidR="007667A2">
                    <w:trPr>
                      <w:tblCellSpacing w:w="0" w:type="dxa"/>
                      <w:jc w:val="center"/>
                    </w:trPr>
                    <w:tc>
                      <w:tcPr>
                        <w:tcW w:w="37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200"/>
                        </w:tblGrid>
                        <w:tr w:rsidR="007667A2">
                          <w:trPr>
                            <w:tblCellSpacing w:w="0" w:type="dxa"/>
                          </w:trPr>
                          <w:tc>
                            <w:tcPr>
                              <w:tcW w:w="0" w:type="auto"/>
                              <w:tcMar>
                                <w:top w:w="0" w:type="dxa"/>
                                <w:left w:w="0" w:type="dxa"/>
                                <w:bottom w:w="150" w:type="dxa"/>
                                <w:right w:w="0" w:type="dxa"/>
                              </w:tcMar>
                              <w:vAlign w:val="center"/>
                              <w:hideMark/>
                            </w:tcPr>
                            <w:p w:rsidR="007667A2" w:rsidRDefault="007667A2" w:rsidP="007667A2">
                              <w:pPr>
                                <w:pStyle w:val="NormalWeb"/>
                                <w:spacing w:before="0" w:beforeAutospacing="0" w:after="0" w:afterAutospacing="0"/>
                                <w:rPr>
                                  <w:rFonts w:ascii="Helvetica" w:hAnsi="Helvetica" w:cs="Helvetica"/>
                                  <w:color w:val="9D9E9F"/>
                                  <w:sz w:val="21"/>
                                  <w:szCs w:val="21"/>
                                </w:rPr>
                              </w:pPr>
                            </w:p>
                          </w:tc>
                        </w:tr>
                      </w:tbl>
                      <w:p w:rsidR="007667A2" w:rsidRDefault="007667A2">
                        <w:pPr>
                          <w:rPr>
                            <w:rFonts w:ascii="Helvetica" w:hAnsi="Helvetica" w:cs="Helvetica"/>
                            <w:color w:val="000000"/>
                            <w:sz w:val="20"/>
                            <w:szCs w:val="20"/>
                          </w:rPr>
                        </w:pPr>
                      </w:p>
                    </w:tc>
                    <w:tc>
                      <w:tcPr>
                        <w:tcW w:w="125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0"/>
                        </w:tblGrid>
                        <w:tr w:rsidR="007667A2">
                          <w:trPr>
                            <w:tblCellSpacing w:w="0" w:type="dxa"/>
                          </w:trPr>
                          <w:tc>
                            <w:tcPr>
                              <w:tcW w:w="2400" w:type="dxa"/>
                              <w:tcMar>
                                <w:top w:w="75" w:type="dxa"/>
                                <w:left w:w="0" w:type="dxa"/>
                                <w:bottom w:w="75" w:type="dxa"/>
                                <w:right w:w="0" w:type="dxa"/>
                              </w:tcMar>
                              <w:vAlign w:val="center"/>
                              <w:hideMark/>
                            </w:tcPr>
                            <w:p w:rsidR="007667A2" w:rsidRDefault="007667A2">
                              <w:pPr>
                                <w:rPr>
                                  <w:sz w:val="20"/>
                                  <w:szCs w:val="20"/>
                                </w:rPr>
                              </w:pPr>
                            </w:p>
                          </w:tc>
                        </w:tr>
                      </w:tbl>
                      <w:p w:rsidR="007667A2" w:rsidRDefault="007667A2">
                        <w:pPr>
                          <w:rPr>
                            <w:rFonts w:ascii="Helvetica" w:hAnsi="Helvetica" w:cs="Helvetica"/>
                            <w:color w:val="000000"/>
                            <w:sz w:val="20"/>
                            <w:szCs w:val="20"/>
                          </w:rPr>
                        </w:pPr>
                      </w:p>
                    </w:tc>
                  </w:tr>
                </w:tbl>
                <w:p w:rsidR="007667A2" w:rsidRDefault="007667A2"/>
              </w:tc>
            </w:tr>
          </w:tbl>
          <w:p w:rsidR="007667A2" w:rsidRDefault="007667A2"/>
        </w:tc>
      </w:tr>
    </w:tbl>
    <w:p w:rsidR="00261002" w:rsidRDefault="00261002"/>
    <w:sectPr w:rsidR="0026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A2"/>
    <w:rsid w:val="00261002"/>
    <w:rsid w:val="006C35B4"/>
    <w:rsid w:val="0076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9389-F5E0-4CD1-A512-5493C0EB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C35B4"/>
    <w:rPr>
      <w:i/>
      <w:iCs/>
    </w:rPr>
  </w:style>
  <w:style w:type="paragraph" w:styleId="NoSpacing">
    <w:name w:val="No Spacing"/>
    <w:uiPriority w:val="1"/>
    <w:qFormat/>
    <w:rsid w:val="006C35B4"/>
    <w:rPr>
      <w:rFonts w:ascii="Calibri" w:eastAsia="Calibri" w:hAnsi="Calibri"/>
      <w:sz w:val="22"/>
      <w:szCs w:val="22"/>
    </w:rPr>
  </w:style>
  <w:style w:type="paragraph" w:styleId="NormalWeb">
    <w:name w:val="Normal (Web)"/>
    <w:basedOn w:val="Normal"/>
    <w:uiPriority w:val="99"/>
    <w:semiHidden/>
    <w:unhideWhenUsed/>
    <w:rsid w:val="007667A2"/>
    <w:pPr>
      <w:spacing w:before="100" w:beforeAutospacing="1" w:after="100" w:afterAutospacing="1"/>
    </w:pPr>
  </w:style>
  <w:style w:type="character" w:styleId="Hyperlink">
    <w:name w:val="Hyperlink"/>
    <w:basedOn w:val="DefaultParagraphFont"/>
    <w:uiPriority w:val="99"/>
    <w:semiHidden/>
    <w:unhideWhenUsed/>
    <w:rsid w:val="007667A2"/>
    <w:rPr>
      <w:color w:val="0000FF"/>
      <w:u w:val="single"/>
    </w:rPr>
  </w:style>
  <w:style w:type="character" w:styleId="Strong">
    <w:name w:val="Strong"/>
    <w:basedOn w:val="DefaultParagraphFont"/>
    <w:uiPriority w:val="22"/>
    <w:qFormat/>
    <w:rsid w:val="00766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0021">
      <w:bodyDiv w:val="1"/>
      <w:marLeft w:val="0"/>
      <w:marRight w:val="0"/>
      <w:marTop w:val="0"/>
      <w:marBottom w:val="0"/>
      <w:divBdr>
        <w:top w:val="none" w:sz="0" w:space="0" w:color="auto"/>
        <w:left w:val="none" w:sz="0" w:space="0" w:color="auto"/>
        <w:bottom w:val="none" w:sz="0" w:space="0" w:color="auto"/>
        <w:right w:val="none" w:sz="0" w:space="0" w:color="auto"/>
      </w:divBdr>
      <w:divsChild>
        <w:div w:id="389961475">
          <w:marLeft w:val="0"/>
          <w:marRight w:val="0"/>
          <w:marTop w:val="0"/>
          <w:marBottom w:val="0"/>
          <w:divBdr>
            <w:top w:val="none" w:sz="0" w:space="0" w:color="auto"/>
            <w:left w:val="none" w:sz="0" w:space="0" w:color="auto"/>
            <w:bottom w:val="none" w:sz="0" w:space="0" w:color="auto"/>
            <w:right w:val="none" w:sz="0" w:space="0" w:color="auto"/>
          </w:divBdr>
          <w:divsChild>
            <w:div w:id="1281034478">
              <w:marLeft w:val="0"/>
              <w:marRight w:val="0"/>
              <w:marTop w:val="0"/>
              <w:marBottom w:val="0"/>
              <w:divBdr>
                <w:top w:val="none" w:sz="0" w:space="0" w:color="auto"/>
                <w:left w:val="none" w:sz="0" w:space="0" w:color="auto"/>
                <w:bottom w:val="none" w:sz="0" w:space="0" w:color="auto"/>
                <w:right w:val="none" w:sz="0" w:space="0" w:color="auto"/>
              </w:divBdr>
              <w:divsChild>
                <w:div w:id="51079100">
                  <w:marLeft w:val="0"/>
                  <w:marRight w:val="0"/>
                  <w:marTop w:val="0"/>
                  <w:marBottom w:val="0"/>
                  <w:divBdr>
                    <w:top w:val="none" w:sz="0" w:space="0" w:color="auto"/>
                    <w:left w:val="none" w:sz="0" w:space="0" w:color="auto"/>
                    <w:bottom w:val="none" w:sz="0" w:space="0" w:color="auto"/>
                    <w:right w:val="none" w:sz="0" w:space="0" w:color="auto"/>
                  </w:divBdr>
                  <w:divsChild>
                    <w:div w:id="7493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9871">
          <w:marLeft w:val="0"/>
          <w:marRight w:val="0"/>
          <w:marTop w:val="0"/>
          <w:marBottom w:val="0"/>
          <w:divBdr>
            <w:top w:val="none" w:sz="0" w:space="0" w:color="auto"/>
            <w:left w:val="none" w:sz="0" w:space="0" w:color="auto"/>
            <w:bottom w:val="none" w:sz="0" w:space="0" w:color="auto"/>
            <w:right w:val="none" w:sz="0" w:space="0" w:color="auto"/>
          </w:divBdr>
          <w:divsChild>
            <w:div w:id="611480259">
              <w:marLeft w:val="0"/>
              <w:marRight w:val="0"/>
              <w:marTop w:val="0"/>
              <w:marBottom w:val="0"/>
              <w:divBdr>
                <w:top w:val="none" w:sz="0" w:space="0" w:color="auto"/>
                <w:left w:val="none" w:sz="0" w:space="0" w:color="auto"/>
                <w:bottom w:val="none" w:sz="0" w:space="0" w:color="auto"/>
                <w:right w:val="none" w:sz="0" w:space="0" w:color="auto"/>
              </w:divBdr>
            </w:div>
          </w:divsChild>
        </w:div>
        <w:div w:id="1547524873">
          <w:marLeft w:val="0"/>
          <w:marRight w:val="0"/>
          <w:marTop w:val="0"/>
          <w:marBottom w:val="0"/>
          <w:divBdr>
            <w:top w:val="none" w:sz="0" w:space="0" w:color="auto"/>
            <w:left w:val="none" w:sz="0" w:space="0" w:color="auto"/>
            <w:bottom w:val="none" w:sz="0" w:space="0" w:color="auto"/>
            <w:right w:val="none" w:sz="0" w:space="0" w:color="auto"/>
          </w:divBdr>
          <w:divsChild>
            <w:div w:id="1804692003">
              <w:marLeft w:val="0"/>
              <w:marRight w:val="0"/>
              <w:marTop w:val="0"/>
              <w:marBottom w:val="0"/>
              <w:divBdr>
                <w:top w:val="none" w:sz="0" w:space="0" w:color="auto"/>
                <w:left w:val="none" w:sz="0" w:space="0" w:color="auto"/>
                <w:bottom w:val="none" w:sz="0" w:space="0" w:color="auto"/>
                <w:right w:val="none" w:sz="0" w:space="0" w:color="auto"/>
              </w:divBdr>
              <w:divsChild>
                <w:div w:id="1193809577">
                  <w:marLeft w:val="0"/>
                  <w:marRight w:val="0"/>
                  <w:marTop w:val="0"/>
                  <w:marBottom w:val="0"/>
                  <w:divBdr>
                    <w:top w:val="none" w:sz="0" w:space="0" w:color="auto"/>
                    <w:left w:val="none" w:sz="0" w:space="0" w:color="auto"/>
                    <w:bottom w:val="none" w:sz="0" w:space="0" w:color="auto"/>
                    <w:right w:val="none" w:sz="0" w:space="0" w:color="auto"/>
                  </w:divBdr>
                </w:div>
              </w:divsChild>
            </w:div>
            <w:div w:id="319623098">
              <w:marLeft w:val="0"/>
              <w:marRight w:val="0"/>
              <w:marTop w:val="0"/>
              <w:marBottom w:val="0"/>
              <w:divBdr>
                <w:top w:val="none" w:sz="0" w:space="0" w:color="auto"/>
                <w:left w:val="none" w:sz="0" w:space="0" w:color="auto"/>
                <w:bottom w:val="none" w:sz="0" w:space="0" w:color="auto"/>
                <w:right w:val="none" w:sz="0" w:space="0" w:color="auto"/>
              </w:divBdr>
              <w:divsChild>
                <w:div w:id="446507388">
                  <w:marLeft w:val="0"/>
                  <w:marRight w:val="0"/>
                  <w:marTop w:val="0"/>
                  <w:marBottom w:val="0"/>
                  <w:divBdr>
                    <w:top w:val="none" w:sz="0" w:space="0" w:color="auto"/>
                    <w:left w:val="none" w:sz="0" w:space="0" w:color="auto"/>
                    <w:bottom w:val="none" w:sz="0" w:space="0" w:color="auto"/>
                    <w:right w:val="none" w:sz="0" w:space="0" w:color="auto"/>
                  </w:divBdr>
                </w:div>
              </w:divsChild>
            </w:div>
            <w:div w:id="78723447">
              <w:marLeft w:val="0"/>
              <w:marRight w:val="0"/>
              <w:marTop w:val="0"/>
              <w:marBottom w:val="0"/>
              <w:divBdr>
                <w:top w:val="none" w:sz="0" w:space="0" w:color="auto"/>
                <w:left w:val="none" w:sz="0" w:space="0" w:color="auto"/>
                <w:bottom w:val="none" w:sz="0" w:space="0" w:color="auto"/>
                <w:right w:val="none" w:sz="0" w:space="0" w:color="auto"/>
              </w:divBdr>
              <w:divsChild>
                <w:div w:id="1823082737">
                  <w:marLeft w:val="0"/>
                  <w:marRight w:val="0"/>
                  <w:marTop w:val="0"/>
                  <w:marBottom w:val="0"/>
                  <w:divBdr>
                    <w:top w:val="none" w:sz="0" w:space="0" w:color="auto"/>
                    <w:left w:val="none" w:sz="0" w:space="0" w:color="auto"/>
                    <w:bottom w:val="none" w:sz="0" w:space="0" w:color="auto"/>
                    <w:right w:val="none" w:sz="0" w:space="0" w:color="auto"/>
                  </w:divBdr>
                </w:div>
              </w:divsChild>
            </w:div>
            <w:div w:id="2134905687">
              <w:marLeft w:val="0"/>
              <w:marRight w:val="0"/>
              <w:marTop w:val="0"/>
              <w:marBottom w:val="0"/>
              <w:divBdr>
                <w:top w:val="none" w:sz="0" w:space="0" w:color="auto"/>
                <w:left w:val="none" w:sz="0" w:space="0" w:color="auto"/>
                <w:bottom w:val="none" w:sz="0" w:space="0" w:color="auto"/>
                <w:right w:val="none" w:sz="0" w:space="0" w:color="auto"/>
              </w:divBdr>
              <w:divsChild>
                <w:div w:id="542448028">
                  <w:marLeft w:val="0"/>
                  <w:marRight w:val="0"/>
                  <w:marTop w:val="0"/>
                  <w:marBottom w:val="0"/>
                  <w:divBdr>
                    <w:top w:val="none" w:sz="0" w:space="0" w:color="auto"/>
                    <w:left w:val="none" w:sz="0" w:space="0" w:color="auto"/>
                    <w:bottom w:val="none" w:sz="0" w:space="0" w:color="auto"/>
                    <w:right w:val="none" w:sz="0" w:space="0" w:color="auto"/>
                  </w:divBdr>
                </w:div>
              </w:divsChild>
            </w:div>
            <w:div w:id="1423604832">
              <w:marLeft w:val="0"/>
              <w:marRight w:val="0"/>
              <w:marTop w:val="0"/>
              <w:marBottom w:val="0"/>
              <w:divBdr>
                <w:top w:val="none" w:sz="0" w:space="0" w:color="auto"/>
                <w:left w:val="none" w:sz="0" w:space="0" w:color="auto"/>
                <w:bottom w:val="none" w:sz="0" w:space="0" w:color="auto"/>
                <w:right w:val="none" w:sz="0" w:space="0" w:color="auto"/>
              </w:divBdr>
              <w:divsChild>
                <w:div w:id="286278970">
                  <w:marLeft w:val="0"/>
                  <w:marRight w:val="0"/>
                  <w:marTop w:val="0"/>
                  <w:marBottom w:val="0"/>
                  <w:divBdr>
                    <w:top w:val="none" w:sz="0" w:space="0" w:color="auto"/>
                    <w:left w:val="none" w:sz="0" w:space="0" w:color="auto"/>
                    <w:bottom w:val="none" w:sz="0" w:space="0" w:color="auto"/>
                    <w:right w:val="none" w:sz="0" w:space="0" w:color="auto"/>
                  </w:divBdr>
                </w:div>
              </w:divsChild>
            </w:div>
            <w:div w:id="2024670008">
              <w:marLeft w:val="0"/>
              <w:marRight w:val="0"/>
              <w:marTop w:val="0"/>
              <w:marBottom w:val="0"/>
              <w:divBdr>
                <w:top w:val="none" w:sz="0" w:space="0" w:color="auto"/>
                <w:left w:val="none" w:sz="0" w:space="0" w:color="auto"/>
                <w:bottom w:val="none" w:sz="0" w:space="0" w:color="auto"/>
                <w:right w:val="none" w:sz="0" w:space="0" w:color="auto"/>
              </w:divBdr>
              <w:divsChild>
                <w:div w:id="8222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rldefense.proofpoint.com/v2/url?u=https-3A__t.e2ma.net_click_3jka5d_f1dis0_j8duwp&amp;d=DwMFaQ&amp;c=o14_68DQy6cMJf5D8ZSrZQ&amp;r=wnQymcLz-_SCmrE1nxoEm9IxEuxD066Nxip02Vs4nHs&amp;m=Id7lgGF9LPT-o_O14d3Kz-FU4mDIUlI09X8gDGTG-QoGzhV3_Ga0v8SKAlLttOuV&amp;s=IUYqL5gm5aQju-V0Tv_L7pwhrs9zI22EdlLz9DjNBKc&amp;e=" TargetMode="External"/><Relationship Id="rId18" Type="http://schemas.openxmlformats.org/officeDocument/2006/relationships/hyperlink" Target="https://urldefense.proofpoint.com/v2/url?u=https-3A__t.e2ma.net_click_3jka5d_f1dis0_vlguwp&amp;d=DwMFaQ&amp;c=o14_68DQy6cMJf5D8ZSrZQ&amp;r=wnQymcLz-_SCmrE1nxoEm9IxEuxD066Nxip02Vs4nHs&amp;m=Id7lgGF9LPT-o_O14d3Kz-FU4mDIUlI09X8gDGTG-QoGzhV3_Ga0v8SKAlLttOuV&amp;s=wsG0sOX5WK3N0wY2M60-ZiNZOZ3fHD0OH8v_Hc79Gdk&amp;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s://urldefense.proofpoint.com/v2/url?u=https-3A__t.e2ma.net_click_3jka5d_f1dis0_baauwp&amp;d=DwMFaQ&amp;c=o14_68DQy6cMJf5D8ZSrZQ&amp;r=wnQymcLz-_SCmrE1nxoEm9IxEuxD066Nxip02Vs4nHs&amp;m=Id7lgGF9LPT-o_O14d3Kz-FU4mDIUlI09X8gDGTG-QoGzhV3_Ga0v8SKAlLttOuV&amp;s=r_FTYmH8oIRbYlhn-RNAOvH-CO1GP-fSpP4KHnLGZhk&amp;e=" TargetMode="External"/><Relationship Id="rId12" Type="http://schemas.openxmlformats.org/officeDocument/2006/relationships/hyperlink" Target="https://urldefense.proofpoint.com/v2/url?u=https-3A__t.e2ma.net_click_3jka5d_f1dis0_3fduwp&amp;d=DwMFaQ&amp;c=o14_68DQy6cMJf5D8ZSrZQ&amp;r=wnQymcLz-_SCmrE1nxoEm9IxEuxD066Nxip02Vs4nHs&amp;m=Id7lgGF9LPT-o_O14d3Kz-FU4mDIUlI09X8gDGTG-QoGzhV3_Ga0v8SKAlLttOuV&amp;s=FZsvzvJVUaG_O5guP5kxgv1dX3zpZTGLVOyQKjZ4tAE&amp;e="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proofpoint.com/v2/url?u=https-3A__t.e2ma.net_click_3jka5d_f1dis0_ftfuwp&amp;d=DwMFaQ&amp;c=o14_68DQy6cMJf5D8ZSrZQ&amp;r=wnQymcLz-_SCmrE1nxoEm9IxEuxD066Nxip02Vs4nHs&amp;m=Id7lgGF9LPT-o_O14d3Kz-FU4mDIUlI09X8gDGTG-QoGzhV3_Ga0v8SKAlLttOuV&amp;s=r6jF3p2nxMBLtdnFbgK8iiCMDdhq2xcNTuiMbyKuaNc&amp;e=" TargetMode="External"/><Relationship Id="rId20" Type="http://schemas.openxmlformats.org/officeDocument/2006/relationships/hyperlink" Target="https://urldefense.proofpoint.com/v2/url?u=https-3A__t.e2ma.net_click_3jka5d_f1dis0_behuwp&amp;d=DwMFaQ&amp;c=o14_68DQy6cMJf5D8ZSrZQ&amp;r=wnQymcLz-_SCmrE1nxoEm9IxEuxD066Nxip02Vs4nHs&amp;m=Id7lgGF9LPT-o_O14d3Kz-FU4mDIUlI09X8gDGTG-QoGzhV3_Ga0v8SKAlLttOuV&amp;s=Rxmul0aIBI1DKz7Rl2-4LMaCuFxJAjmB3l5v_ZZTh2Q&amp;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urldefense.proofpoint.com/v2/url?u=https-3A__t.e2ma.net_click_3jka5d_f1dis0_nncuwp&amp;d=DwMFaQ&amp;c=o14_68DQy6cMJf5D8ZSrZQ&amp;r=wnQymcLz-_SCmrE1nxoEm9IxEuxD066Nxip02Vs4nHs&amp;m=Id7lgGF9LPT-o_O14d3Kz-FU4mDIUlI09X8gDGTG-QoGzhV3_Ga0v8SKAlLttOuV&amp;s=FcA22iIBddwL6_RYs6Lf2XFh-HLRgpMdLYgym6INl7s&amp;e=" TargetMode="External"/><Relationship Id="rId24" Type="http://schemas.openxmlformats.org/officeDocument/2006/relationships/hyperlink" Target="https://urldefense.proofpoint.com/v2/url?u=http-3A__www.nasba.org&amp;d=DwQFaQ&amp;c=o14_68DQy6cMJf5D8ZSrZQ&amp;r=wnQymcLz-_SCmrE1nxoEm9IxEuxD066Nxip02Vs4nHs&amp;m=Id7lgGF9LPT-o_O14d3Kz-FU4mDIUlI09X8gDGTG-QoGzhV3_Ga0v8SKAlLttOuV&amp;s=ISLoU5ifLluFubvhZcpWrhUhDHF-PHTl6OjS11OHsuM&amp;e=" TargetMode="External"/><Relationship Id="rId5" Type="http://schemas.openxmlformats.org/officeDocument/2006/relationships/image" Target="media/image1.jpeg"/><Relationship Id="rId15" Type="http://schemas.openxmlformats.org/officeDocument/2006/relationships/hyperlink" Target="https://urldefense.proofpoint.com/v2/url?u=https-3A__t.e2ma.net_click_3jka5d_f1dis0_z0euwp&amp;d=DwMFaQ&amp;c=o14_68DQy6cMJf5D8ZSrZQ&amp;r=wnQymcLz-_SCmrE1nxoEm9IxEuxD066Nxip02Vs4nHs&amp;m=Id7lgGF9LPT-o_O14d3Kz-FU4mDIUlI09X8gDGTG-QoGzhV3_Ga0v8SKAlLttOuV&amp;s=4-BVbzjFjwxTFMERjeyD5lUumGG6hGDGV0sYbxx--ZA&amp;e=" TargetMode="External"/><Relationship Id="rId23" Type="http://schemas.openxmlformats.org/officeDocument/2006/relationships/image" Target="media/image7.png"/><Relationship Id="rId10" Type="http://schemas.openxmlformats.org/officeDocument/2006/relationships/hyperlink" Target="https://urldefense.proofpoint.com/v2/url?u=https-3A__t.e2ma.net_click_3jka5d_f1dis0_7ubuwp&amp;d=DwMFaQ&amp;c=o14_68DQy6cMJf5D8ZSrZQ&amp;r=wnQymcLz-_SCmrE1nxoEm9IxEuxD066Nxip02Vs4nHs&amp;m=Id7lgGF9LPT-o_O14d3Kz-FU4mDIUlI09X8gDGTG-QoGzhV3_Ga0v8SKAlLttOuV&amp;s=Q3ktFeeMY4iMichxmhP_8eTjeT9iN5nZ76QlH8AtwyQ&amp;e=" TargetMode="External"/><Relationship Id="rId19" Type="http://schemas.openxmlformats.org/officeDocument/2006/relationships/image" Target="media/image5.png"/><Relationship Id="rId4" Type="http://schemas.openxmlformats.org/officeDocument/2006/relationships/hyperlink" Target="https://urldefense.proofpoint.com/v2/url?u=https-3A__t.e2ma.net_click_3jka5d_f1dis0_vh9twp&amp;d=DwMFaQ&amp;c=o14_68DQy6cMJf5D8ZSrZQ&amp;r=wnQymcLz-_SCmrE1nxoEm9IxEuxD066Nxip02Vs4nHs&amp;m=Id7lgGF9LPT-o_O14d3Kz-FU4mDIUlI09X8gDGTG-QoGzhV3_Ga0v8SKAlLttOuV&amp;s=eFVAm5VJwJ1AWzFqLHzNAWd8b-Rz059eEDw6W_xcbSg&amp;e=" TargetMode="External"/><Relationship Id="rId9" Type="http://schemas.openxmlformats.org/officeDocument/2006/relationships/hyperlink" Target="https://urldefense.proofpoint.com/v2/url?u=https-3A__t.e2ma.net_click_3jka5d_f1dis0_r2auwp&amp;d=DwMFaQ&amp;c=o14_68DQy6cMJf5D8ZSrZQ&amp;r=wnQymcLz-_SCmrE1nxoEm9IxEuxD066Nxip02Vs4nHs&amp;m=Id7lgGF9LPT-o_O14d3Kz-FU4mDIUlI09X8gDGTG-QoGzhV3_Ga0v8SKAlLttOuV&amp;s=wXI00cOiw8l8UEzwPYX4InVT1xqkNJWQ0JjuafXCBz4&amp;e=" TargetMode="External"/><Relationship Id="rId14" Type="http://schemas.openxmlformats.org/officeDocument/2006/relationships/hyperlink" Target="mailto:Feedback@EvolutionofCPA.org" TargetMode="External"/><Relationship Id="rId22" Type="http://schemas.openxmlformats.org/officeDocument/2006/relationships/hyperlink" Target="https://urldefense.proofpoint.com/v2/url?u=https-3A__t.e2ma.net_click_3jka5d_f1dis0_r6huwp&amp;d=DwMFaQ&amp;c=o14_68DQy6cMJf5D8ZSrZQ&amp;r=wnQymcLz-_SCmrE1nxoEm9IxEuxD066Nxip02Vs4nHs&amp;m=Id7lgGF9LPT-o_O14d3Kz-FU4mDIUlI09X8gDGTG-QoGzhV3_Ga0v8SKAlLttOuV&amp;s=bPnzX2FcTPLZ5p0CDGl9rL8zWe75fqb0Jhh2VMvioVI&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2022-12-12T16:51:00Z</dcterms:created>
  <dcterms:modified xsi:type="dcterms:W3CDTF">2022-12-12T16:54:00Z</dcterms:modified>
</cp:coreProperties>
</file>